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99A" w:rsidRPr="0081199A" w:rsidRDefault="0081199A" w:rsidP="0081199A">
      <w:pPr>
        <w:jc w:val="center"/>
        <w:rPr>
          <w:rFonts w:ascii="Times New Roman" w:hAnsi="Times New Roman" w:cs="Times New Roman"/>
          <w:b/>
        </w:rPr>
      </w:pPr>
      <w:r w:rsidRPr="0081199A">
        <w:rPr>
          <w:rFonts w:ascii="Times New Roman" w:hAnsi="Times New Roman" w:cs="Times New Roman"/>
          <w:b/>
        </w:rPr>
        <w:t>Gaming simulation training: a new way to achieve</w:t>
      </w:r>
      <w:r w:rsidRPr="0081199A">
        <w:rPr>
          <w:rFonts w:ascii="Times New Roman" w:hAnsi="Times New Roman" w:cs="Times New Roman"/>
          <w:b/>
        </w:rPr>
        <w:t xml:space="preserve"> </w:t>
      </w:r>
      <w:r w:rsidRPr="0081199A">
        <w:rPr>
          <w:rFonts w:ascii="Times New Roman" w:hAnsi="Times New Roman" w:cs="Times New Roman"/>
          <w:b/>
        </w:rPr>
        <w:t>participatory flood management planning</w:t>
      </w:r>
    </w:p>
    <w:p w:rsidR="0081199A" w:rsidRDefault="0081199A" w:rsidP="0081199A">
      <w:pPr>
        <w:jc w:val="both"/>
        <w:rPr>
          <w:rFonts w:ascii="Times New Roman" w:hAnsi="Times New Roman" w:cs="Times New Roman"/>
        </w:rPr>
      </w:pPr>
    </w:p>
    <w:p w:rsidR="0081199A" w:rsidRDefault="0081199A" w:rsidP="0081199A">
      <w:pPr>
        <w:jc w:val="center"/>
        <w:rPr>
          <w:rFonts w:ascii="Times New Roman" w:hAnsi="Times New Roman" w:cs="Times New Roman"/>
        </w:rPr>
      </w:pPr>
      <w:r w:rsidRPr="0081199A">
        <w:rPr>
          <w:rFonts w:ascii="Times New Roman" w:hAnsi="Times New Roman" w:cs="Times New Roman"/>
        </w:rPr>
        <w:t xml:space="preserve">Pongpisit Huyakorn, Paola Rizzi, Anna Paola </w:t>
      </w:r>
      <w:proofErr w:type="spellStart"/>
      <w:r w:rsidRPr="0081199A">
        <w:rPr>
          <w:rFonts w:ascii="Times New Roman" w:hAnsi="Times New Roman" w:cs="Times New Roman"/>
        </w:rPr>
        <w:t>Calaresu</w:t>
      </w:r>
      <w:proofErr w:type="spellEnd"/>
      <w:r w:rsidRPr="0081199A">
        <w:rPr>
          <w:rFonts w:ascii="Times New Roman" w:hAnsi="Times New Roman" w:cs="Times New Roman"/>
        </w:rPr>
        <w:t xml:space="preserve">, </w:t>
      </w:r>
      <w:proofErr w:type="spellStart"/>
      <w:r w:rsidRPr="0081199A">
        <w:rPr>
          <w:rFonts w:ascii="Times New Roman" w:hAnsi="Times New Roman" w:cs="Times New Roman"/>
        </w:rPr>
        <w:t>Alessia</w:t>
      </w:r>
      <w:proofErr w:type="spellEnd"/>
      <w:r>
        <w:rPr>
          <w:rFonts w:ascii="Times New Roman" w:hAnsi="Times New Roman" w:cs="Times New Roman"/>
        </w:rPr>
        <w:t xml:space="preserve"> </w:t>
      </w:r>
      <w:r w:rsidRPr="0081199A">
        <w:rPr>
          <w:rFonts w:ascii="Times New Roman" w:hAnsi="Times New Roman" w:cs="Times New Roman"/>
        </w:rPr>
        <w:t>Marcia</w:t>
      </w:r>
    </w:p>
    <w:p w:rsidR="0081199A" w:rsidRDefault="0081199A" w:rsidP="0081199A">
      <w:pPr>
        <w:jc w:val="center"/>
        <w:rPr>
          <w:rFonts w:ascii="Times New Roman" w:hAnsi="Times New Roman" w:cs="Times New Roman"/>
        </w:rPr>
      </w:pP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t>Department of Architecture, Design, and Urban Planning,</w:t>
      </w:r>
    </w:p>
    <w:p w:rsidR="0081199A" w:rsidRDefault="0081199A" w:rsidP="0081199A">
      <w:pPr>
        <w:jc w:val="center"/>
        <w:rPr>
          <w:rFonts w:ascii="Times New Roman" w:hAnsi="Times New Roman" w:cs="Times New Roman"/>
        </w:rPr>
      </w:pPr>
      <w:r w:rsidRPr="0081199A">
        <w:rPr>
          <w:rFonts w:ascii="Times New Roman" w:hAnsi="Times New Roman" w:cs="Times New Roman"/>
        </w:rPr>
        <w:t>University of Sassari</w:t>
      </w:r>
    </w:p>
    <w:p w:rsidR="0081199A" w:rsidRDefault="0081199A" w:rsidP="0081199A">
      <w:pPr>
        <w:jc w:val="both"/>
        <w:rPr>
          <w:rFonts w:ascii="Times New Roman" w:hAnsi="Times New Roman" w:cs="Times New Roman"/>
        </w:rPr>
      </w:pPr>
    </w:p>
    <w:p w:rsidR="001D6D7A" w:rsidRDefault="0081199A" w:rsidP="0081199A">
      <w:pPr>
        <w:jc w:val="both"/>
        <w:rPr>
          <w:rFonts w:ascii="Times New Roman" w:hAnsi="Times New Roman" w:cs="Times New Roman"/>
        </w:rPr>
      </w:pPr>
      <w:r>
        <w:rPr>
          <w:rFonts w:ascii="Times New Roman" w:hAnsi="Times New Roman" w:cs="Times New Roman"/>
        </w:rPr>
        <w:tab/>
      </w:r>
      <w:r w:rsidRPr="0081199A">
        <w:rPr>
          <w:rFonts w:ascii="Times New Roman" w:hAnsi="Times New Roman" w:cs="Times New Roman"/>
        </w:rPr>
        <w:t>There were clear evidences that Thai government failed to</w:t>
      </w:r>
      <w:r w:rsidRPr="0081199A">
        <w:rPr>
          <w:rFonts w:ascii="Times New Roman" w:hAnsi="Times New Roman" w:cs="Times New Roman"/>
        </w:rPr>
        <w:t xml:space="preserve"> </w:t>
      </w:r>
      <w:r w:rsidRPr="0081199A">
        <w:rPr>
          <w:rFonts w:ascii="Times New Roman" w:hAnsi="Times New Roman" w:cs="Times New Roman"/>
        </w:rPr>
        <w:t>manage the flood during the year of 2011, leaving the local communities to deal with the flood by themselves, unfortunately most of them did not have enough flood management capacity, which lead to a lot of damages and casualties. Disaster Risk Reduction/flood management in the local community is very important to tackle with the flood disaster situation, whether a</w:t>
      </w:r>
      <w:r w:rsidRPr="0081199A">
        <w:rPr>
          <w:rFonts w:ascii="Times New Roman" w:hAnsi="Times New Roman" w:cs="Times New Roman"/>
        </w:rPr>
        <w:t xml:space="preserve"> disaster is major or minor, of </w:t>
      </w:r>
      <w:r w:rsidRPr="0081199A">
        <w:rPr>
          <w:rFonts w:ascii="Times New Roman" w:hAnsi="Times New Roman" w:cs="Times New Roman"/>
        </w:rPr>
        <w:t xml:space="preserve">national or local proportion, it is the people at the community or village level who suffer its adverse effects. They use coping and survival strategies to face and respond to the situation </w:t>
      </w:r>
      <w:r w:rsidRPr="0081199A">
        <w:rPr>
          <w:rFonts w:ascii="Times New Roman" w:hAnsi="Times New Roman" w:cs="Times New Roman"/>
        </w:rPr>
        <w:t>l</w:t>
      </w:r>
      <w:r w:rsidRPr="0081199A">
        <w:rPr>
          <w:rFonts w:ascii="Times New Roman" w:hAnsi="Times New Roman" w:cs="Times New Roman"/>
        </w:rPr>
        <w:t xml:space="preserve">ong before outside help from NGOs or the government arrives. They are interested in protecting themselves from the damage and harm. This paper will propose Gaming Simulation (GS) as a community training tool to transfer the knowledge of flood management as well as building community capacity, improve the community collaboration in flood management and shows that it is very promising as a training tool to assist the community disaster planner in formulating a successful community-based flood management (CBFM).   After we implemented the tool in two local communities, the results of GS showed that it could make an impact on community people in the aspects of risk perception, adoptive </w:t>
      </w:r>
      <w:r w:rsidRPr="0081199A">
        <w:rPr>
          <w:rFonts w:ascii="Times New Roman" w:hAnsi="Times New Roman" w:cs="Times New Roman"/>
        </w:rPr>
        <w:t>behavior</w:t>
      </w:r>
      <w:r w:rsidRPr="0081199A">
        <w:rPr>
          <w:rFonts w:ascii="Times New Roman" w:hAnsi="Times New Roman" w:cs="Times New Roman"/>
        </w:rPr>
        <w:t xml:space="preserve"> and cooperation of the community. In the end, it leads to the long-term progressive CBFM learning impact and the continuous planning process on the trainer, trainee, the whole community, and phenomenally, the entire district.</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 xml:space="preserve"> </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1. Introduction</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In the end of the year 2011, almost every region of Thailand especially in area located in the Chao Phraya and Mekong River basin, including Bangkok and surrounding neighborhoods has been affected by the biggest flood disaster (See figure 1.1). Flooding began around July 2011, and continued until December 2011. Almost 13 millions people were affected, 813 people died and according to the World Bank estimation, damage reached 1,440 billion baht (US$45 billion).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Thai government was blamed for the failure of flood management and the unorganized plan that caused confusion among Thai people, the government just tried to protect Bangkok and deflect the water to the regional area but they did not plan the evacuation plan for the affected people properly, the government did not alarm people prior to the flood, they have announced that everything is under control or that they could manage and cope with the flood until it was too late, leaving the vulnerable community to face and relieve the flood by themselves or wait for the help from the military or volunteer groups, the people could not rely on the government at all, nearly every flooded community took more than 3 months to return to normal condition.</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lastRenderedPageBreak/>
        <w:drawing>
          <wp:anchor distT="0" distB="0" distL="114300" distR="114300" simplePos="0" relativeHeight="251666432" behindDoc="0" locked="0" layoutInCell="1" allowOverlap="1" wp14:anchorId="0E2E6612" wp14:editId="250E7969">
            <wp:simplePos x="0" y="0"/>
            <wp:positionH relativeFrom="column">
              <wp:posOffset>342900</wp:posOffset>
            </wp:positionH>
            <wp:positionV relativeFrom="paragraph">
              <wp:posOffset>1905</wp:posOffset>
            </wp:positionV>
            <wp:extent cx="4572000" cy="3013075"/>
            <wp:effectExtent l="0" t="0" r="0"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4572000" cy="3013075"/>
                    </a:xfrm>
                    <a:prstGeom prst="rect">
                      <a:avLst/>
                    </a:prstGeom>
                    <a:noFill/>
                    <a:ln>
                      <a:noFill/>
                    </a:ln>
                  </pic:spPr>
                </pic:pic>
              </a:graphicData>
            </a:graphic>
          </wp:anchor>
        </w:drawing>
      </w:r>
      <w:r w:rsidRPr="0081199A">
        <w:rPr>
          <w:rFonts w:ascii="Times New Roman" w:hAnsi="Times New Roman" w:cs="Times New Roman"/>
        </w:rPr>
        <w:t>Source: NASA earth observation, acquired 28/11/2011</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1.1 Image comparison of the Chao Phraya River basin (13/11/2008, 8/11/2011)</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From the 2011-Flood situation, it was clear that most of the communities did not have the capacity to deal with the flood because they did not have knowledge for disaster management and the government did not provide them with enough information to protected and mitigated themselves during the flood situation neither. The local communities are the main stakeholders in the event of flood disaster.   They are interested in protecting themselves from the damage and harm. Dynes </w:t>
      </w:r>
      <w:proofErr w:type="gramStart"/>
      <w:r w:rsidRPr="0081199A">
        <w:rPr>
          <w:rFonts w:ascii="Times New Roman" w:hAnsi="Times New Roman" w:cs="Times New Roman"/>
        </w:rPr>
        <w:t>stated that</w:t>
      </w:r>
      <w:proofErr w:type="gramEnd"/>
      <w:r w:rsidRPr="0081199A">
        <w:rPr>
          <w:rFonts w:ascii="Times New Roman" w:hAnsi="Times New Roman" w:cs="Times New Roman"/>
        </w:rPr>
        <w:t xml:space="preserve"> "The local community is taken as the primary focus of attention (in disaster reduction) since that is the common unit which is affected by disaster and more importantly, responds to deal with the event.” (Dynes, 2003)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Albeit, past experiences have shown that Thai people are not well aware of hazards and disaster as </w:t>
      </w:r>
      <w:proofErr w:type="spellStart"/>
      <w:r w:rsidRPr="0081199A">
        <w:rPr>
          <w:rFonts w:ascii="Times New Roman" w:hAnsi="Times New Roman" w:cs="Times New Roman"/>
        </w:rPr>
        <w:t>Waiyatee</w:t>
      </w:r>
      <w:proofErr w:type="spellEnd"/>
      <w:r w:rsidRPr="0081199A">
        <w:rPr>
          <w:rFonts w:ascii="Times New Roman" w:hAnsi="Times New Roman" w:cs="Times New Roman"/>
        </w:rPr>
        <w:t xml:space="preserve"> mentions, “The lack of safety culture has resulted in limited knowledge and capacities, and unorganized disaster management.”(</w:t>
      </w:r>
      <w:proofErr w:type="spellStart"/>
      <w:r w:rsidRPr="0081199A">
        <w:rPr>
          <w:rFonts w:ascii="Times New Roman" w:hAnsi="Times New Roman" w:cs="Times New Roman"/>
          <w:bCs/>
          <w:iCs/>
        </w:rPr>
        <w:t>Waiyatee</w:t>
      </w:r>
      <w:proofErr w:type="spellEnd"/>
      <w:r w:rsidRPr="0081199A">
        <w:rPr>
          <w:rFonts w:ascii="Times New Roman" w:hAnsi="Times New Roman" w:cs="Times New Roman"/>
        </w:rPr>
        <w:t>, 2011)  How can the local community manage the flood by themselves, considering this, our research has tried to explore the concept of community-based flood management and introduce the effective community training tool along with the set of indicators and measurements for assessment, hoping that the trained community can be one of the main actor to nurture the idea of CBFM planning in Thailand.</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2. Two training models and research design</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rPr>
        <w:tab/>
        <w:t xml:space="preserve">In this research, we applied two training methods on two student groups, the first was the traditional lecture method, which will be the baseline for the study, the second was the gaming simulation that showed some potential to be a training for trainer tool, which we suspected that it could surpass the traditional lecture method. The traditional lecture has been doubt for a long time about it passive and tutor-centered as quoted from </w:t>
      </w:r>
      <w:proofErr w:type="spellStart"/>
      <w:r w:rsidRPr="0081199A">
        <w:rPr>
          <w:rFonts w:ascii="Times New Roman" w:hAnsi="Times New Roman" w:cs="Times New Roman"/>
        </w:rPr>
        <w:t>Bonwell</w:t>
      </w:r>
      <w:proofErr w:type="spellEnd"/>
      <w:r w:rsidRPr="0081199A">
        <w:rPr>
          <w:rFonts w:ascii="Times New Roman" w:hAnsi="Times New Roman" w:cs="Times New Roman"/>
        </w:rPr>
        <w:t xml:space="preserve"> “Lectures are passive and information tends to be forgotten quickly when student are passive” (</w:t>
      </w:r>
      <w:proofErr w:type="spellStart"/>
      <w:r w:rsidRPr="0081199A">
        <w:rPr>
          <w:rFonts w:ascii="Times New Roman" w:hAnsi="Times New Roman" w:cs="Times New Roman"/>
        </w:rPr>
        <w:t>Bonwell</w:t>
      </w:r>
      <w:proofErr w:type="spellEnd"/>
      <w:r w:rsidRPr="0081199A">
        <w:rPr>
          <w:rFonts w:ascii="Times New Roman" w:hAnsi="Times New Roman" w:cs="Times New Roman"/>
        </w:rPr>
        <w:t xml:space="preserve">, 1996), on contrary, gaming simulation has been emerging as an active and student-centered education tool in the past 20 years.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Traditional lecture model is quite simple, </w:t>
      </w:r>
      <w:proofErr w:type="spellStart"/>
      <w:r w:rsidRPr="0081199A">
        <w:rPr>
          <w:rFonts w:ascii="Times New Roman" w:hAnsi="Times New Roman" w:cs="Times New Roman"/>
        </w:rPr>
        <w:t>Cashin</w:t>
      </w:r>
      <w:proofErr w:type="spellEnd"/>
      <w:r w:rsidRPr="0081199A">
        <w:rPr>
          <w:rFonts w:ascii="Times New Roman" w:hAnsi="Times New Roman" w:cs="Times New Roman"/>
        </w:rPr>
        <w:t xml:space="preserve"> stated that “Lecture allow the instructor maximum control of the learning experience” (</w:t>
      </w:r>
      <w:proofErr w:type="spellStart"/>
      <w:r w:rsidRPr="0081199A">
        <w:rPr>
          <w:rFonts w:ascii="Times New Roman" w:hAnsi="Times New Roman" w:cs="Times New Roman"/>
        </w:rPr>
        <w:t>Cashin</w:t>
      </w:r>
      <w:proofErr w:type="spellEnd"/>
      <w:r w:rsidRPr="0081199A">
        <w:rPr>
          <w:rFonts w:ascii="Times New Roman" w:hAnsi="Times New Roman" w:cs="Times New Roman"/>
        </w:rPr>
        <w:t xml:space="preserve">, 1996), it is a one-way process of teaching, which transfers a huge amount of the information to the students (It presumes that all students learn in a same pace and all of them have the same level of understanding) without giving any opportunity for the students to make feedback or refer back to the contents of the lecture, in the end it cans get only one outcome, which relates to the content the lecturer wants to give, either the student understands the content properly or partially. In his book, </w:t>
      </w:r>
      <w:proofErr w:type="spellStart"/>
      <w:r w:rsidRPr="0081199A">
        <w:rPr>
          <w:rFonts w:ascii="Times New Roman" w:hAnsi="Times New Roman" w:cs="Times New Roman"/>
        </w:rPr>
        <w:t>Bonwell</w:t>
      </w:r>
      <w:proofErr w:type="spellEnd"/>
      <w:r w:rsidRPr="0081199A">
        <w:rPr>
          <w:rFonts w:ascii="Times New Roman" w:hAnsi="Times New Roman" w:cs="Times New Roman"/>
        </w:rPr>
        <w:t xml:space="preserve"> </w:t>
      </w:r>
      <w:proofErr w:type="gramStart"/>
      <w:r w:rsidRPr="0081199A">
        <w:rPr>
          <w:rFonts w:ascii="Times New Roman" w:hAnsi="Times New Roman" w:cs="Times New Roman"/>
        </w:rPr>
        <w:t>argued that</w:t>
      </w:r>
      <w:proofErr w:type="gramEnd"/>
      <w:r w:rsidRPr="0081199A">
        <w:rPr>
          <w:rFonts w:ascii="Times New Roman" w:hAnsi="Times New Roman" w:cs="Times New Roman"/>
        </w:rPr>
        <w:t xml:space="preserve"> “Lectures are not well suited for teaching complex, abstract material and higher order of thinking” (</w:t>
      </w:r>
      <w:proofErr w:type="spellStart"/>
      <w:r w:rsidRPr="0081199A">
        <w:rPr>
          <w:rFonts w:ascii="Times New Roman" w:hAnsi="Times New Roman" w:cs="Times New Roman"/>
        </w:rPr>
        <w:t>Bonwell</w:t>
      </w:r>
      <w:proofErr w:type="spellEnd"/>
      <w:r w:rsidRPr="0081199A">
        <w:rPr>
          <w:rFonts w:ascii="Times New Roman" w:hAnsi="Times New Roman" w:cs="Times New Roman"/>
        </w:rPr>
        <w:t xml:space="preserve">, 1996)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In the case of gaming simulation learning model, the contents of the lecture were transferred through the simulation and the role given in the game, during the activity the student could have many chances for the interactions and negotiations simulated from the real community meeting and additionally, they learned to fit themselves in the local residents’ shoes as they adopted the roles they were given. Moreover, the most important step of the learning model of gaming simulation was the debriefing step at the end of the activity, which let the students reflect their action within the game, the content of the gaming simulation, exchanged of thoughts and ideas with the lecturer/ student and many other context related to the game and the real life situations.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We applied Pretest-posttest nonequivalent control group design for the experimental research design by comparing the change in the experimental group with the change in the control group.  After we distributed the self-assessment and pre-test questionnaire to the trainers, we divided them into 2 teams, the 1</w:t>
      </w:r>
      <w:r w:rsidRPr="0081199A">
        <w:rPr>
          <w:rFonts w:ascii="Times New Roman" w:hAnsi="Times New Roman" w:cs="Times New Roman"/>
          <w:vertAlign w:val="superscript"/>
        </w:rPr>
        <w:t>st</w:t>
      </w:r>
      <w:r w:rsidRPr="0081199A">
        <w:rPr>
          <w:rFonts w:ascii="Times New Roman" w:hAnsi="Times New Roman" w:cs="Times New Roman"/>
        </w:rPr>
        <w:t xml:space="preserve"> team (Team A) was trained by the traditional lecture method and the 2</w:t>
      </w:r>
      <w:r w:rsidRPr="0081199A">
        <w:rPr>
          <w:rFonts w:ascii="Times New Roman" w:hAnsi="Times New Roman" w:cs="Times New Roman"/>
          <w:vertAlign w:val="superscript"/>
        </w:rPr>
        <w:t>nd</w:t>
      </w:r>
      <w:r w:rsidRPr="0081199A">
        <w:rPr>
          <w:rFonts w:ascii="Times New Roman" w:hAnsi="Times New Roman" w:cs="Times New Roman"/>
        </w:rPr>
        <w:t xml:space="preserve"> team (Team B) was trained by the gaming simulation method and team A was the controlled group of this research, later on we distributed another self-assessment and the post-test questionnaire to the trainer. Finally both groups went to the community to train the local resident as their trainees, and then we assessed the individual capacity improvement of the trainee and the whole community capacity after they were trained. In addition, we assessed the trainer performance and their training skill by the observation and the interview likewise. (See figure 2.1)</w:t>
      </w:r>
    </w:p>
    <w:p w:rsidR="0081199A" w:rsidRPr="0081199A" w:rsidRDefault="0081199A" w:rsidP="0081199A">
      <w:pPr>
        <w:jc w:val="center"/>
        <w:rPr>
          <w:rFonts w:ascii="Times New Roman" w:hAnsi="Times New Roman" w:cs="Times New Roman"/>
          <w:b/>
        </w:rPr>
      </w:pPr>
      <w:r w:rsidRPr="0081199A">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2514600</wp:posOffset>
                </wp:positionV>
                <wp:extent cx="685800" cy="22860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1199A" w:rsidRPr="00E74F7E" w:rsidRDefault="0081199A" w:rsidP="0081199A">
                            <w:pPr>
                              <w:rPr>
                                <w:sz w:val="20"/>
                              </w:rPr>
                            </w:pPr>
                            <w:r>
                              <w:rPr>
                                <w:sz w:val="20"/>
                              </w:rPr>
                              <w:t>Compare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90pt;margin-top:198pt;width:54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" filled="f" stroked="f">
                <v:path arrowok="t"/>
                <v:textbox>
                  <w:txbxContent>
                    <w:p w:rsidR="0081199A" w:rsidRPr="00E74F7E" w:rsidRDefault="0081199A" w:rsidP="0081199A">
                      <w:pPr>
                        <w:rPr>
                          <w:sz w:val="20"/>
                        </w:rPr>
                      </w:pPr>
                      <w:r>
                        <w:rPr>
                          <w:sz w:val="20"/>
                        </w:rPr>
                        <w:t>Compare</w:t>
                      </w:r>
                    </w:p>
                  </w:txbxContent>
                </v:textbox>
              </v:shape>
            </w:pict>
          </mc:Fallback>
        </mc:AlternateContent>
      </w:r>
      <w:r w:rsidRPr="0081199A">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1600200</wp:posOffset>
                </wp:positionV>
                <wp:extent cx="6858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1199A" w:rsidRPr="00E74F7E" w:rsidRDefault="0081199A" w:rsidP="0081199A">
                            <w:pPr>
                              <w:rPr>
                                <w:sz w:val="20"/>
                              </w:rPr>
                            </w:pPr>
                            <w:r>
                              <w:rPr>
                                <w:sz w:val="20"/>
                              </w:rPr>
                              <w:t>Trainee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45pt;margin-top:126pt;width:54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" filled="f" stroked="f">
                <v:path arrowok="t"/>
                <v:textbox>
                  <w:txbxContent>
                    <w:p w:rsidR="0081199A" w:rsidRPr="00E74F7E" w:rsidRDefault="0081199A" w:rsidP="0081199A">
                      <w:pPr>
                        <w:rPr>
                          <w:sz w:val="20"/>
                        </w:rPr>
                      </w:pPr>
                      <w:r>
                        <w:rPr>
                          <w:sz w:val="20"/>
                        </w:rPr>
                        <w:t>Trainee</w:t>
                      </w:r>
                    </w:p>
                  </w:txbxContent>
                </v:textbox>
              </v:shape>
            </w:pict>
          </mc:Fallback>
        </mc:AlternateContent>
      </w:r>
      <w:r w:rsidRPr="0081199A">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1143000</wp:posOffset>
                </wp:positionV>
                <wp:extent cx="685800" cy="2286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1199A" w:rsidRPr="00E74F7E" w:rsidRDefault="0081199A" w:rsidP="0081199A">
                            <w:pPr>
                              <w:rPr>
                                <w:sz w:val="20"/>
                              </w:rPr>
                            </w:pPr>
                            <w:r>
                              <w:rPr>
                                <w:sz w:val="20"/>
                              </w:rPr>
                              <w:t>Trainer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45pt;margin-top:90pt;width:54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" filled="f" stroked="f">
                <v:path arrowok="t"/>
                <v:textbox>
                  <w:txbxContent>
                    <w:p w:rsidR="0081199A" w:rsidRPr="00E74F7E" w:rsidRDefault="0081199A" w:rsidP="0081199A">
                      <w:pPr>
                        <w:rPr>
                          <w:sz w:val="20"/>
                        </w:rPr>
                      </w:pPr>
                      <w:r>
                        <w:rPr>
                          <w:sz w:val="20"/>
                        </w:rPr>
                        <w:t>Trainer</w:t>
                      </w:r>
                    </w:p>
                  </w:txbxContent>
                </v:textbox>
              </v:shape>
            </w:pict>
          </mc:Fallback>
        </mc:AlternateContent>
      </w:r>
      <w:r w:rsidRPr="0081199A">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1143000</wp:posOffset>
                </wp:positionV>
                <wp:extent cx="685800"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1199A" w:rsidRPr="00E74F7E" w:rsidRDefault="0081199A" w:rsidP="0081199A">
                            <w:pPr>
                              <w:rPr>
                                <w:sz w:val="20"/>
                              </w:rPr>
                            </w:pPr>
                            <w:r>
                              <w:rPr>
                                <w:sz w:val="20"/>
                              </w:rPr>
                              <w:t>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135pt;margin-top:90pt;width:54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" filled="f" stroked="f">
                <v:path arrowok="t"/>
                <v:textbox>
                  <w:txbxContent>
                    <w:p w:rsidR="0081199A" w:rsidRPr="00E74F7E" w:rsidRDefault="0081199A" w:rsidP="0081199A">
                      <w:pPr>
                        <w:rPr>
                          <w:sz w:val="20"/>
                        </w:rPr>
                      </w:pPr>
                      <w:r>
                        <w:rPr>
                          <w:sz w:val="20"/>
                        </w:rPr>
                        <w:t>Train</w:t>
                      </w:r>
                    </w:p>
                  </w:txbxContent>
                </v:textbox>
              </v:shape>
            </w:pict>
          </mc:Fallback>
        </mc:AlternateContent>
      </w:r>
      <w:r w:rsidRPr="0081199A">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1028700</wp:posOffset>
                </wp:positionV>
                <wp:extent cx="685800"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1199A" w:rsidRPr="00E74F7E" w:rsidRDefault="0081199A" w:rsidP="0081199A">
                            <w:pPr>
                              <w:rPr>
                                <w:sz w:val="20"/>
                              </w:rPr>
                            </w:pPr>
                            <w:r>
                              <w:rPr>
                                <w:sz w:val="20"/>
                              </w:rPr>
                              <w: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234pt;margin-top:81pt;width:5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" filled="f" stroked="f">
                <v:path arrowok="t"/>
                <v:textbox>
                  <w:txbxContent>
                    <w:p w:rsidR="0081199A" w:rsidRPr="00E74F7E" w:rsidRDefault="0081199A" w:rsidP="0081199A">
                      <w:pPr>
                        <w:rPr>
                          <w:sz w:val="20"/>
                        </w:rPr>
                      </w:pPr>
                      <w:r>
                        <w:rPr>
                          <w:sz w:val="20"/>
                        </w:rPr>
                        <w:t>Test</w:t>
                      </w:r>
                    </w:p>
                  </w:txbxContent>
                </v:textbox>
              </v:shape>
            </w:pict>
          </mc:Fallback>
        </mc:AlternateContent>
      </w:r>
      <w:r w:rsidRPr="0081199A">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2171700</wp:posOffset>
                </wp:positionH>
                <wp:positionV relativeFrom="paragraph">
                  <wp:posOffset>1943100</wp:posOffset>
                </wp:positionV>
                <wp:extent cx="6858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1199A" w:rsidRPr="00E74F7E" w:rsidRDefault="0081199A" w:rsidP="0081199A">
                            <w:pPr>
                              <w:rPr>
                                <w:sz w:val="20"/>
                              </w:rPr>
                            </w:pPr>
                            <w:r>
                              <w:rPr>
                                <w:sz w:val="20"/>
                              </w:rPr>
                              <w: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171pt;margin-top:153pt;width:5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" filled="f" stroked="f">
                <v:path arrowok="t"/>
                <v:textbox>
                  <w:txbxContent>
                    <w:p w:rsidR="0081199A" w:rsidRPr="00E74F7E" w:rsidRDefault="0081199A" w:rsidP="0081199A">
                      <w:pPr>
                        <w:rPr>
                          <w:sz w:val="20"/>
                        </w:rPr>
                      </w:pPr>
                      <w:r>
                        <w:rPr>
                          <w:sz w:val="20"/>
                        </w:rPr>
                        <w:t>Test</w:t>
                      </w:r>
                    </w:p>
                  </w:txbxContent>
                </v:textbox>
              </v:shape>
            </w:pict>
          </mc:Fallback>
        </mc:AlternateContent>
      </w:r>
      <w:r w:rsidRPr="0081199A">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3543300</wp:posOffset>
                </wp:positionV>
                <wp:extent cx="685800" cy="2286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1199A" w:rsidRPr="00E74F7E" w:rsidRDefault="0081199A" w:rsidP="0081199A">
                            <w:pPr>
                              <w:rPr>
                                <w:sz w:val="20"/>
                              </w:rPr>
                            </w:pPr>
                            <w:r>
                              <w:rPr>
                                <w:sz w:val="20"/>
                              </w:rPr>
                              <w:t>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1in;margin-top:279pt;width:5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" filled="f" stroked="f">
                <v:path arrowok="t"/>
                <v:textbox>
                  <w:txbxContent>
                    <w:p w:rsidR="0081199A" w:rsidRPr="00E74F7E" w:rsidRDefault="0081199A" w:rsidP="0081199A">
                      <w:pPr>
                        <w:rPr>
                          <w:sz w:val="20"/>
                        </w:rPr>
                      </w:pPr>
                      <w:r>
                        <w:rPr>
                          <w:sz w:val="20"/>
                        </w:rPr>
                        <w:t>Result</w:t>
                      </w:r>
                    </w:p>
                  </w:txbxContent>
                </v:textbox>
              </v:shape>
            </w:pict>
          </mc:Fallback>
        </mc:AlternateContent>
      </w:r>
      <w:r w:rsidRPr="0081199A">
        <w:rPr>
          <w:rFonts w:ascii="Times New Roman" w:hAnsi="Times New Roman" w:cs="Times New Roman"/>
          <w:b/>
        </w:rPr>
        <w:drawing>
          <wp:inline distT="0" distB="0" distL="0" distR="0" wp14:anchorId="1A6F75F5" wp14:editId="410CF944">
            <wp:extent cx="4176880" cy="370484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 study.pdf"/>
                    <pic:cNvPicPr/>
                  </pic:nvPicPr>
                  <pic:blipFill>
                    <a:blip r:embed="rId6">
                      <a:grayscl/>
                      <a:extLst>
                        <a:ext uri="{28A0092B-C50C-407E-A947-70E740481C1C}">
                          <a14:useLocalDpi xmlns:a14="http://schemas.microsoft.com/office/drawing/2010/main" val="0"/>
                        </a:ext>
                      </a:extLst>
                    </a:blip>
                    <a:stretch>
                      <a:fillRect/>
                    </a:stretch>
                  </pic:blipFill>
                  <pic:spPr>
                    <a:xfrm>
                      <a:off x="0" y="0"/>
                      <a:ext cx="4177371" cy="3705279"/>
                    </a:xfrm>
                    <a:prstGeom prst="rect">
                      <a:avLst/>
                    </a:prstGeom>
                  </pic:spPr>
                </pic:pic>
              </a:graphicData>
            </a:graphic>
          </wp:inline>
        </w:drawing>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2.1 Research Design</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Kirkpatrick model of training evaluation (Kirkpatrick, 1959) is one of the model that has been used widely to evaluate the training programs, it consists of four levels or steps of outcome evaluation including Reaction, Learning, Behavior and Result, each level was recommended to apply to different assessment tools, the following are some of the main context of Kirkpatrick model</w:t>
      </w:r>
      <w:proofErr w:type="gramStart"/>
      <w:r w:rsidRPr="0081199A">
        <w:rPr>
          <w:rFonts w:ascii="Times New Roman" w:hAnsi="Times New Roman" w:cs="Times New Roman"/>
        </w:rPr>
        <w:t>.(</w:t>
      </w:r>
      <w:proofErr w:type="gramEnd"/>
      <w:r w:rsidRPr="0081199A">
        <w:rPr>
          <w:rFonts w:ascii="Times New Roman" w:hAnsi="Times New Roman" w:cs="Times New Roman"/>
        </w:rPr>
        <w:t>See figure 2.2) Figure 2.3 shows which tools have been used to evaluate the effect of the training and describes how this research evaluation tools fitted on the Kirkpatrick Four Levels likewise.</w:t>
      </w:r>
    </w:p>
    <w:p w:rsidR="0081199A" w:rsidRPr="0081199A" w:rsidRDefault="0081199A" w:rsidP="0081199A">
      <w:pPr>
        <w:jc w:val="both"/>
        <w:rPr>
          <w:rFonts w:ascii="Times New Roman" w:hAnsi="Times New Roman" w:cs="Times New Roman"/>
        </w:rPr>
      </w:pPr>
    </w:p>
    <w:p w:rsidR="0081199A" w:rsidRPr="0081199A" w:rsidRDefault="0081199A" w:rsidP="0081199A">
      <w:pPr>
        <w:jc w:val="center"/>
        <w:rPr>
          <w:rFonts w:ascii="Times New Roman" w:hAnsi="Times New Roman" w:cs="Times New Roman"/>
          <w:b/>
        </w:rPr>
      </w:pPr>
      <w:r w:rsidRPr="0081199A">
        <w:rPr>
          <w:rFonts w:ascii="Times New Roman" w:hAnsi="Times New Roman" w:cs="Times New Roman"/>
          <w:b/>
        </w:rPr>
        <w:drawing>
          <wp:inline distT="0" distB="0" distL="0" distR="0" wp14:anchorId="29C38790" wp14:editId="4D345B54">
            <wp:extent cx="3639911" cy="1518048"/>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grayscl/>
                      <a:lum contrast="20000"/>
                      <a:extLst>
                        <a:ext uri="{28A0092B-C50C-407E-A947-70E740481C1C}">
                          <a14:useLocalDpi xmlns:a14="http://schemas.microsoft.com/office/drawing/2010/main" val="0"/>
                        </a:ext>
                      </a:extLst>
                    </a:blip>
                    <a:srcRect b="-3082"/>
                    <a:stretch/>
                  </pic:blipFill>
                  <pic:spPr bwMode="auto">
                    <a:xfrm>
                      <a:off x="0" y="0"/>
                      <a:ext cx="3642938" cy="1519310"/>
                    </a:xfrm>
                    <a:prstGeom prst="rect">
                      <a:avLst/>
                    </a:prstGeom>
                    <a:noFill/>
                    <a:ln>
                      <a:noFill/>
                    </a:ln>
                    <a:extLst>
                      <a:ext uri="{53640926-AAD7-44d8-BBD7-CCE9431645EC}">
                        <a14:shadowObscured xmlns:a14="http://schemas.microsoft.com/office/drawing/2010/main"/>
                      </a:ext>
                    </a:extLst>
                  </pic:spPr>
                </pic:pic>
              </a:graphicData>
            </a:graphic>
          </wp:inline>
        </w:drawing>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 xml:space="preserve">Source: The Kirkpatrick Four level </w:t>
      </w:r>
      <w:r w:rsidRPr="0081199A">
        <w:rPr>
          <w:rFonts w:ascii="Times New Roman" w:hAnsi="Times New Roman" w:cs="Times New Roman"/>
          <w:vertAlign w:val="superscript"/>
        </w:rPr>
        <w:t>TM</w:t>
      </w:r>
      <w:r w:rsidRPr="0081199A">
        <w:rPr>
          <w:rFonts w:ascii="Times New Roman" w:hAnsi="Times New Roman" w:cs="Times New Roman"/>
        </w:rPr>
        <w:t>: A Fresh Look After 50 Years 1959-2009 (Kirkpatrick &amp; Kirkpatrick, 2009)</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2.2 Four levels of Kirkpatrick model</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drawing>
          <wp:inline distT="0" distB="0" distL="0" distR="0" wp14:anchorId="6CA0924F" wp14:editId="6719D702">
            <wp:extent cx="5115726" cy="846194"/>
            <wp:effectExtent l="25400" t="25400" r="15240"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levels.pdf"/>
                    <pic:cNvPicPr/>
                  </pic:nvPicPr>
                  <pic:blipFill rotWithShape="1">
                    <a:blip r:embed="rId8">
                      <a:extLst>
                        <a:ext uri="{28A0092B-C50C-407E-A947-70E740481C1C}">
                          <a14:useLocalDpi xmlns:a14="http://schemas.microsoft.com/office/drawing/2010/main" val="0"/>
                        </a:ext>
                      </a:extLst>
                    </a:blip>
                    <a:srcRect l="-1" r="-471" b="-7847"/>
                    <a:stretch/>
                  </pic:blipFill>
                  <pic:spPr bwMode="auto">
                    <a:xfrm>
                      <a:off x="0" y="0"/>
                      <a:ext cx="5117611" cy="8465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2.3 Assessment tools</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ab/>
        <w:t>2.1 The training for community trainers</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The lecture covered all the aspects of flood management in the community level concluded from the 3 pilot studies in 3 flooded community in Bangkok along with the existing literature, the session was about one and a half hour, the lecture includes seven contents hereinafter, 1. Key contents of flood management; flood mitigation measure, community plan development, negotiation process, systematic training, stakeholder analysis, significant and role of each role, people participation/ consensus building, conflict management, 7 steps of flood management, 2. The impact of flood disaster; damages, risk area, vulnerable people, shortage of supply, etc. 3. Flood protection (hard measure); community radio, bulletin board/ brochure, water pump, dyke, advantage and disadvantage of each project, 4. Flood mitigation (soft measure); water-level surveillance team, vulnerable registration, flood management mutual fund, drills, 5. The need of consensus building, participatory planning and what to be anticipated from the community meeting activity; the conflict management, how to compromise, the stakeholders that involved in CBFM, the possibility of collision among the residents. 6. The important of evacuation; evacuation scheme, organizations that are working in evacuation, evacuate shelter (</w:t>
      </w:r>
      <w:proofErr w:type="spellStart"/>
      <w:r w:rsidRPr="0081199A">
        <w:rPr>
          <w:rFonts w:ascii="Times New Roman" w:hAnsi="Times New Roman" w:cs="Times New Roman"/>
        </w:rPr>
        <w:t>ie</w:t>
      </w:r>
      <w:proofErr w:type="spellEnd"/>
      <w:r w:rsidRPr="0081199A">
        <w:rPr>
          <w:rFonts w:ascii="Times New Roman" w:hAnsi="Times New Roman" w:cs="Times New Roman"/>
        </w:rPr>
        <w:t xml:space="preserve">. Thammasat university) and 7.Example of the Thai community-based flood management successful case study such as </w:t>
      </w:r>
      <w:proofErr w:type="spellStart"/>
      <w:r w:rsidRPr="0081199A">
        <w:rPr>
          <w:rFonts w:ascii="Times New Roman" w:hAnsi="Times New Roman" w:cs="Times New Roman"/>
        </w:rPr>
        <w:t>Samutsakhon</w:t>
      </w:r>
      <w:proofErr w:type="spellEnd"/>
      <w:r w:rsidRPr="0081199A">
        <w:rPr>
          <w:rFonts w:ascii="Times New Roman" w:hAnsi="Times New Roman" w:cs="Times New Roman"/>
        </w:rPr>
        <w:t xml:space="preserve"> municipality case, </w:t>
      </w:r>
      <w:proofErr w:type="spellStart"/>
      <w:r w:rsidRPr="0081199A">
        <w:rPr>
          <w:rFonts w:ascii="Times New Roman" w:hAnsi="Times New Roman" w:cs="Times New Roman"/>
        </w:rPr>
        <w:t>Nakornchaimongkol</w:t>
      </w:r>
      <w:proofErr w:type="spellEnd"/>
      <w:r w:rsidRPr="0081199A">
        <w:rPr>
          <w:rFonts w:ascii="Times New Roman" w:hAnsi="Times New Roman" w:cs="Times New Roman"/>
        </w:rPr>
        <w:t xml:space="preserve"> villa community case to provide them insight of successful CBFM cases. As per gaming simulation, we applied role-play gaming simulation, which was developed from the same 7 main contents of the lecture. The gaming simulation training also took the time around 1.30 hour. (See figure 2.1.1) The main focusing point of the game is the community meeting and the brainstorming for the alternative to manage the flood disaster situations. (See figure 2.1.2)</w:t>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655A60BC" wp14:editId="573DF38C">
            <wp:extent cx="4355599" cy="1919103"/>
            <wp:effectExtent l="0" t="0" r="0" b="11430"/>
            <wp:docPr id="236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6081" cy="1919315"/>
                    </a:xfrm>
                    <a:prstGeom prst="rect">
                      <a:avLst/>
                    </a:prstGeom>
                    <a:noFill/>
                    <a:ln>
                      <a:noFill/>
                    </a:ln>
                  </pic:spPr>
                </pic:pic>
              </a:graphicData>
            </a:graphic>
          </wp:inline>
        </w:drawing>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2.1.1Role-play gaming simulation</w:t>
      </w:r>
    </w:p>
    <w:p w:rsidR="0081199A" w:rsidRPr="0081199A" w:rsidRDefault="0081199A" w:rsidP="0081199A">
      <w:pPr>
        <w:jc w:val="both"/>
        <w:rPr>
          <w:rFonts w:ascii="Times New Roman" w:hAnsi="Times New Roman" w:cs="Times New Roman"/>
          <w:b/>
        </w:rPr>
      </w:pP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7EB5273C" wp14:editId="06AF1FC9">
            <wp:extent cx="3829685" cy="1651000"/>
            <wp:effectExtent l="0" t="0" r="5715" b="0"/>
            <wp:docPr id="23586" name="Picture 4"/>
            <wp:cNvGraphicFramePr/>
            <a:graphic xmlns:a="http://schemas.openxmlformats.org/drawingml/2006/main">
              <a:graphicData uri="http://schemas.openxmlformats.org/drawingml/2006/picture">
                <pic:pic xmlns:pic="http://schemas.openxmlformats.org/drawingml/2006/picture">
                  <pic:nvPicPr>
                    <pic:cNvPr id="23586" name="Picture 4"/>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829685" cy="1651000"/>
                    </a:xfrm>
                    <a:prstGeom prst="rect">
                      <a:avLst/>
                    </a:prstGeom>
                    <a:noFill/>
                    <a:ln>
                      <a:noFill/>
                    </a:ln>
                  </pic:spPr>
                </pic:pic>
              </a:graphicData>
            </a:graphic>
          </wp:inline>
        </w:drawing>
      </w:r>
    </w:p>
    <w:p w:rsidR="0081199A" w:rsidRPr="0081199A" w:rsidRDefault="0081199A" w:rsidP="0081199A">
      <w:pPr>
        <w:rPr>
          <w:rFonts w:ascii="Times New Roman" w:hAnsi="Times New Roman" w:cs="Times New Roman"/>
          <w:b/>
        </w:rPr>
      </w:pPr>
      <w:r w:rsidRPr="0081199A">
        <w:rPr>
          <w:rFonts w:ascii="Times New Roman" w:hAnsi="Times New Roman" w:cs="Times New Roman"/>
          <w:b/>
        </w:rPr>
        <w:t>Figure 2.1.2 Simulated community meeting in the game</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3.The community-based flood management training by student trainers</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Trainers were 30 second-year undergraduate urban planning students, which have not yet been engaging with the community. Trainees were the residents from the flooded communities located in Donmuang municipality district, from Watsaimar community. (40 people) (Table 3.1)</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b/>
        </w:rPr>
        <w:t>Table 3.1 Table of respondent</w:t>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07632695" wp14:editId="01CBDD54">
            <wp:extent cx="3853046" cy="1643276"/>
            <wp:effectExtent l="0" t="0" r="8255"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3046" cy="1643276"/>
                    </a:xfrm>
                    <a:prstGeom prst="rect">
                      <a:avLst/>
                    </a:prstGeom>
                    <a:noFill/>
                    <a:ln>
                      <a:noFill/>
                    </a:ln>
                  </pic:spPr>
                </pic:pic>
              </a:graphicData>
            </a:graphic>
          </wp:inline>
        </w:drawing>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ab/>
        <w:t xml:space="preserve">3.1 Result of the community training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The results of the training (number of significant improvements) are summarized in table 3.1.1. After the training by trained trainer, the trainee who was trained by the GS trainer has gained more individual capacity on the cooperation in flood management, risk awareness, risk perception, adopted protective behavior and knowledge of flood protection measure. They were more willing to cooperate with the community and government, aware that they could not manage the flood on their own and needed the help from the government as well as they fathomed that there was a need for evacuation in case that the flood level was too high to manage, the perception of the risk that themselves, their relatives and asset might be hurt and damage, furthermore, they also adopted the flood protective behaviors, which 2 most significant changes were improvement to their house and flood insurance.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b/>
        </w:rPr>
        <w:t>Table 3.1.1 Result of the 1</w:t>
      </w:r>
      <w:r w:rsidRPr="0081199A">
        <w:rPr>
          <w:rFonts w:ascii="Times New Roman" w:hAnsi="Times New Roman" w:cs="Times New Roman"/>
          <w:b/>
          <w:vertAlign w:val="superscript"/>
        </w:rPr>
        <w:t>st</w:t>
      </w:r>
      <w:r w:rsidRPr="0081199A">
        <w:rPr>
          <w:rFonts w:ascii="Times New Roman" w:hAnsi="Times New Roman" w:cs="Times New Roman"/>
          <w:b/>
        </w:rPr>
        <w:t xml:space="preserve"> community training by the trained trainer </w:t>
      </w:r>
    </w:p>
    <w:p w:rsidR="0081199A" w:rsidRPr="0081199A" w:rsidRDefault="0081199A" w:rsidP="0081199A">
      <w:pPr>
        <w:jc w:val="center"/>
        <w:rPr>
          <w:rFonts w:ascii="Times New Roman" w:hAnsi="Times New Roman" w:cs="Times New Roman"/>
          <w:b/>
        </w:rPr>
      </w:pPr>
      <w:r w:rsidRPr="0081199A">
        <w:rPr>
          <w:rFonts w:ascii="Times New Roman" w:hAnsi="Times New Roman" w:cs="Times New Roman"/>
        </w:rPr>
        <w:drawing>
          <wp:inline distT="0" distB="0" distL="0" distR="0" wp14:anchorId="04F67FAA" wp14:editId="7F8C4D4F">
            <wp:extent cx="4122396" cy="232393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124561" cy="2325158"/>
                    </a:xfrm>
                    <a:prstGeom prst="rect">
                      <a:avLst/>
                    </a:prstGeom>
                    <a:noFill/>
                    <a:ln>
                      <a:noFill/>
                    </a:ln>
                  </pic:spPr>
                </pic:pic>
              </a:graphicData>
            </a:graphic>
          </wp:inline>
        </w:drawing>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*Wilcoxon signed-rank Test, Exact Sig</w:t>
      </w:r>
      <w:proofErr w:type="gramStart"/>
      <w:r w:rsidRPr="0081199A">
        <w:rPr>
          <w:rFonts w:ascii="Times New Roman" w:hAnsi="Times New Roman" w:cs="Times New Roman"/>
        </w:rPr>
        <w:t>.(</w:t>
      </w:r>
      <w:proofErr w:type="gramEnd"/>
      <w:r w:rsidRPr="0081199A">
        <w:rPr>
          <w:rFonts w:ascii="Times New Roman" w:hAnsi="Times New Roman" w:cs="Times New Roman"/>
        </w:rPr>
        <w:t>2-tailed)</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Table 3.1.2 shows the key contents of the plans, which were developed by the trainee. The clear difference was that team A mainly concerned about their individual house and could not agree to work together, neither do they considered about the evacuation. On contrary, team B could come up to the agreement to work conjointly within the community, in addition, they could explicate more alternatives for their community-based flood management plan, the plan they made was more precise and suitable to be called CBFM plan, while their counterpart just came to the agreement for their household flood protection only.</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Table 3.1.2</w:t>
      </w:r>
      <w:r w:rsidRPr="0081199A">
        <w:rPr>
          <w:rFonts w:ascii="Times New Roman" w:hAnsi="Times New Roman" w:cs="Times New Roman"/>
          <w:b/>
          <w:bCs/>
        </w:rPr>
        <w:t>Key contents of the developed plans</w:t>
      </w:r>
    </w:p>
    <w:p w:rsidR="0081199A" w:rsidRPr="0081199A" w:rsidRDefault="0081199A" w:rsidP="0081199A">
      <w:pPr>
        <w:jc w:val="center"/>
        <w:rPr>
          <w:rFonts w:ascii="Times New Roman" w:hAnsi="Times New Roman" w:cs="Times New Roman"/>
          <w:b/>
        </w:rPr>
      </w:pPr>
      <w:r w:rsidRPr="0081199A">
        <w:rPr>
          <w:rFonts w:ascii="Times New Roman" w:hAnsi="Times New Roman" w:cs="Times New Roman"/>
        </w:rPr>
        <w:drawing>
          <wp:inline distT="0" distB="0" distL="0" distR="0" wp14:anchorId="447EDB82" wp14:editId="51B7D2AE">
            <wp:extent cx="4701136" cy="3089156"/>
            <wp:effectExtent l="0" t="0" r="0" b="1016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701136" cy="3089156"/>
                    </a:xfrm>
                    <a:prstGeom prst="rect">
                      <a:avLst/>
                    </a:prstGeom>
                    <a:noFill/>
                    <a:ln>
                      <a:noFill/>
                    </a:ln>
                  </pic:spPr>
                </pic:pic>
              </a:graphicData>
            </a:graphic>
          </wp:inline>
        </w:drawing>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4.Long-term effect of gaming simulation as training for trainer tool</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In order to see the long-term impact on the trainee, we conducted the second posttest along with additional interview around two months after the training, what we have found was quite astonishing as team B distributed the knowledge they have learn from the training, and convinced team A and other people in community to join them in the CBFM for Watsaimar community. The following are the trainee’s second posttest result on the four indicators (risk awareness, perception of flood risk, adopted protective behavior and flood protection measure). We will not discuss about their cooperation in flood management and flood protection measures as the results of both team were in similar level.</w:t>
      </w:r>
      <w:r w:rsidRPr="0081199A">
        <w:rPr>
          <w:rFonts w:ascii="Times New Roman" w:hAnsi="Times New Roman" w:cs="Times New Roman"/>
        </w:rPr>
        <w:tab/>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First, in the risk awareness, trainee B improved to strongly agree level in Attitude toward flood management and Self-awareness, and to agree level in The need of evacuation, a bit behind trainee B, trainee </w:t>
      </w:r>
      <w:proofErr w:type="gramStart"/>
      <w:r w:rsidRPr="0081199A">
        <w:rPr>
          <w:rFonts w:ascii="Times New Roman" w:hAnsi="Times New Roman" w:cs="Times New Roman"/>
        </w:rPr>
        <w:t>A</w:t>
      </w:r>
      <w:proofErr w:type="gramEnd"/>
      <w:r w:rsidRPr="0081199A">
        <w:rPr>
          <w:rFonts w:ascii="Times New Roman" w:hAnsi="Times New Roman" w:cs="Times New Roman"/>
        </w:rPr>
        <w:t xml:space="preserve"> improved to agree level in all three categories. (See figure 4.1) In two months, with the encouragement of trainee B*, trainee A agreed that they needed the help from the government because they could not give relief by themselves and they should evacuate to other area before the flood arrive. *From the interview with the leader of Watsaimar community on 28/4/2013</w:t>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141A4FDB" wp14:editId="50763496">
            <wp:extent cx="5161660" cy="239649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2063"/>
                    <a:stretch/>
                  </pic:blipFill>
                  <pic:spPr bwMode="auto">
                    <a:xfrm>
                      <a:off x="0" y="0"/>
                      <a:ext cx="5161761" cy="2396537"/>
                    </a:xfrm>
                    <a:prstGeom prst="rect">
                      <a:avLst/>
                    </a:prstGeom>
                    <a:noFill/>
                    <a:ln>
                      <a:noFill/>
                    </a:ln>
                    <a:extLst>
                      <a:ext uri="{53640926-AAD7-44d8-BBD7-CCE9431645EC}">
                        <a14:shadowObscured xmlns:a14="http://schemas.microsoft.com/office/drawing/2010/main"/>
                      </a:ext>
                    </a:extLst>
                  </pic:spPr>
                </pic:pic>
              </a:graphicData>
            </a:graphic>
          </wp:inline>
        </w:drawing>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4.1 Trainee’s risk awareness scores</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For the Perception of flood risk items in term of likelihood, trainee A improved to high level as follow, Supplies, Assets, Houses and Life, in the case of trainee B, their PFRS (Likelihood) improved to very high for Assets and Life and their love ones, high level for Supplies and Houses. (See figure 4.2)</w:t>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61CC48E3" wp14:editId="751529F8">
            <wp:extent cx="5270500" cy="1680063"/>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1680063"/>
                    </a:xfrm>
                    <a:prstGeom prst="rect">
                      <a:avLst/>
                    </a:prstGeom>
                    <a:noFill/>
                    <a:ln>
                      <a:noFill/>
                    </a:ln>
                  </pic:spPr>
                </pic:pic>
              </a:graphicData>
            </a:graphic>
          </wp:inline>
        </w:drawing>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47F7F273" wp14:editId="0E1CFA3A">
            <wp:extent cx="3816113" cy="836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8941" cy="837338"/>
                    </a:xfrm>
                    <a:prstGeom prst="rect">
                      <a:avLst/>
                    </a:prstGeom>
                    <a:noFill/>
                    <a:ln>
                      <a:noFill/>
                    </a:ln>
                  </pic:spPr>
                </pic:pic>
              </a:graphicData>
            </a:graphic>
          </wp:inline>
        </w:drawing>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rPr>
        <w:t>Source: Re-developed from the basis of existing literature (</w:t>
      </w:r>
      <w:proofErr w:type="spellStart"/>
      <w:r w:rsidRPr="0081199A">
        <w:rPr>
          <w:rFonts w:ascii="Times New Roman" w:hAnsi="Times New Roman" w:cs="Times New Roman"/>
        </w:rPr>
        <w:t>Miceli</w:t>
      </w:r>
      <w:proofErr w:type="spellEnd"/>
      <w:r w:rsidRPr="0081199A">
        <w:rPr>
          <w:rFonts w:ascii="Times New Roman" w:hAnsi="Times New Roman" w:cs="Times New Roman"/>
        </w:rPr>
        <w:t xml:space="preserve">, </w:t>
      </w:r>
      <w:proofErr w:type="spellStart"/>
      <w:r w:rsidRPr="0081199A">
        <w:rPr>
          <w:rFonts w:ascii="Times New Roman" w:hAnsi="Times New Roman" w:cs="Times New Roman"/>
        </w:rPr>
        <w:t>Sotgiu</w:t>
      </w:r>
      <w:proofErr w:type="spellEnd"/>
      <w:proofErr w:type="gramStart"/>
      <w:r w:rsidRPr="0081199A">
        <w:rPr>
          <w:rFonts w:ascii="Times New Roman" w:hAnsi="Times New Roman" w:cs="Times New Roman"/>
        </w:rPr>
        <w:t>,&amp;</w:t>
      </w:r>
      <w:proofErr w:type="spellStart"/>
      <w:proofErr w:type="gramEnd"/>
      <w:r w:rsidRPr="0081199A">
        <w:rPr>
          <w:rFonts w:ascii="Times New Roman" w:hAnsi="Times New Roman" w:cs="Times New Roman"/>
        </w:rPr>
        <w:t>Settanni</w:t>
      </w:r>
      <w:proofErr w:type="spellEnd"/>
      <w:r w:rsidRPr="0081199A">
        <w:rPr>
          <w:rFonts w:ascii="Times New Roman" w:hAnsi="Times New Roman" w:cs="Times New Roman"/>
        </w:rPr>
        <w:t>, 2007)</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4.2 Trainee’s perception of flood risk item (Likelihood) scores</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We could see the clear advancement of both trainees in the second posttest, trainee A’s PFRS (Feeling of worry) reduced to the moderate level in Supplies, Assets, Houses and 4) Life, similarly, trainee B’s feeling of worry decreased to worry a bit in Supplies, Assets, Their house, and no worry level in Life category. (See figure 4.3)</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The long-term impact that the training by trainer B had on the trainee’s perception for flood risk is that it could made them perceived the flood risk in a very high level and relieved their worry to worry a bit level, not as much impact as trainer B, trainer A’s training also improved their trainee’s perception for flood risk in a slower process, not to mention that trainee A were also influenced by the trained trainee B to join and do the planning with them.</w:t>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08B82B63" wp14:editId="1C651DCE">
            <wp:extent cx="4980273" cy="161514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3019" cy="1616031"/>
                    </a:xfrm>
                    <a:prstGeom prst="rect">
                      <a:avLst/>
                    </a:prstGeom>
                    <a:noFill/>
                    <a:ln>
                      <a:noFill/>
                    </a:ln>
                  </pic:spPr>
                </pic:pic>
              </a:graphicData>
            </a:graphic>
          </wp:inline>
        </w:drawing>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6E351B16" wp14:editId="065CFE20">
            <wp:extent cx="3612818" cy="792144"/>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6521" cy="792956"/>
                    </a:xfrm>
                    <a:prstGeom prst="rect">
                      <a:avLst/>
                    </a:prstGeom>
                    <a:noFill/>
                    <a:ln>
                      <a:noFill/>
                    </a:ln>
                  </pic:spPr>
                </pic:pic>
              </a:graphicData>
            </a:graphic>
          </wp:inline>
        </w:drawing>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rPr>
        <w:t>Source: Re-developed from the basis of existing literature (</w:t>
      </w:r>
      <w:proofErr w:type="spellStart"/>
      <w:r w:rsidRPr="0081199A">
        <w:rPr>
          <w:rFonts w:ascii="Times New Roman" w:hAnsi="Times New Roman" w:cs="Times New Roman"/>
        </w:rPr>
        <w:t>Miceli</w:t>
      </w:r>
      <w:proofErr w:type="spellEnd"/>
      <w:r w:rsidRPr="0081199A">
        <w:rPr>
          <w:rFonts w:ascii="Times New Roman" w:hAnsi="Times New Roman" w:cs="Times New Roman"/>
        </w:rPr>
        <w:t xml:space="preserve">, </w:t>
      </w:r>
      <w:proofErr w:type="spellStart"/>
      <w:r w:rsidRPr="0081199A">
        <w:rPr>
          <w:rFonts w:ascii="Times New Roman" w:hAnsi="Times New Roman" w:cs="Times New Roman"/>
        </w:rPr>
        <w:t>Sotgiu</w:t>
      </w:r>
      <w:proofErr w:type="spellEnd"/>
      <w:r w:rsidRPr="0081199A">
        <w:rPr>
          <w:rFonts w:ascii="Times New Roman" w:hAnsi="Times New Roman" w:cs="Times New Roman"/>
        </w:rPr>
        <w:t>, &amp;</w:t>
      </w:r>
      <w:proofErr w:type="spellStart"/>
      <w:r w:rsidRPr="0081199A">
        <w:rPr>
          <w:rFonts w:ascii="Times New Roman" w:hAnsi="Times New Roman" w:cs="Times New Roman"/>
        </w:rPr>
        <w:t>Settanni</w:t>
      </w:r>
      <w:proofErr w:type="spellEnd"/>
      <w:r w:rsidRPr="0081199A">
        <w:rPr>
          <w:rFonts w:ascii="Times New Roman" w:hAnsi="Times New Roman" w:cs="Times New Roman"/>
        </w:rPr>
        <w:t>, 2007)</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 xml:space="preserve">Figure 4.3 Trainee’s perception of flood risk item (Feeling of worry) scores </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b/>
        </w:rPr>
        <w:tab/>
      </w:r>
      <w:r w:rsidRPr="0081199A">
        <w:rPr>
          <w:rFonts w:ascii="Times New Roman" w:hAnsi="Times New Roman" w:cs="Times New Roman"/>
        </w:rPr>
        <w:t xml:space="preserve">As for the trainee’s APB, all of trainee B adopted all 10 behaviors within two months after the training, increased from 66% to 100 %. In the case of trainee A, all of them adopted 8 or more than 8 behaviors (increased from 83%) and 50% of them adopted all of the behavior (increased from 33%) with the mean number </w:t>
      </w:r>
      <w:proofErr w:type="gramStart"/>
      <w:r w:rsidRPr="0081199A">
        <w:rPr>
          <w:rFonts w:ascii="Times New Roman" w:hAnsi="Times New Roman" w:cs="Times New Roman"/>
        </w:rPr>
        <w:t>of</w:t>
      </w:r>
      <w:proofErr w:type="gramEnd"/>
      <w:r w:rsidRPr="0081199A">
        <w:rPr>
          <w:rFonts w:ascii="Times New Roman" w:hAnsi="Times New Roman" w:cs="Times New Roman"/>
        </w:rPr>
        <w:t xml:space="preserve"> adopted behavior of 9.39 (S.D.= 0.70, min= 8, max = 10)  (See figure 4.4). Trainee B could make trainee A follow them and adopted much more APB items such as flood insurance, made change to their house and relocate the electronic devices.</w:t>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388DD117" wp14:editId="339B336D">
            <wp:extent cx="5255664" cy="1722078"/>
            <wp:effectExtent l="0" t="0" r="254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109" t="3419"/>
                    <a:stretch/>
                  </pic:blipFill>
                  <pic:spPr bwMode="auto">
                    <a:xfrm>
                      <a:off x="0" y="0"/>
                      <a:ext cx="5258140" cy="1722889"/>
                    </a:xfrm>
                    <a:prstGeom prst="rect">
                      <a:avLst/>
                    </a:prstGeom>
                    <a:noFill/>
                    <a:ln>
                      <a:noFill/>
                    </a:ln>
                    <a:extLst>
                      <a:ext uri="{53640926-AAD7-44d8-BBD7-CCE9431645EC}">
                        <a14:shadowObscured xmlns:a14="http://schemas.microsoft.com/office/drawing/2010/main"/>
                      </a:ext>
                    </a:extLst>
                  </pic:spPr>
                </pic:pic>
              </a:graphicData>
            </a:graphic>
          </wp:inline>
        </w:drawing>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28F9D01E" wp14:editId="12B1DF73">
            <wp:extent cx="5270500" cy="111861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1118611"/>
                    </a:xfrm>
                    <a:prstGeom prst="rect">
                      <a:avLst/>
                    </a:prstGeom>
                    <a:noFill/>
                    <a:ln>
                      <a:noFill/>
                    </a:ln>
                  </pic:spPr>
                </pic:pic>
              </a:graphicData>
            </a:graphic>
          </wp:inline>
        </w:drawing>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rPr>
        <w:t>Source: Re-developed from the basis of existing literature (</w:t>
      </w:r>
      <w:proofErr w:type="spellStart"/>
      <w:r w:rsidRPr="0081199A">
        <w:rPr>
          <w:rFonts w:ascii="Times New Roman" w:hAnsi="Times New Roman" w:cs="Times New Roman"/>
        </w:rPr>
        <w:t>Miceli</w:t>
      </w:r>
      <w:proofErr w:type="spellEnd"/>
      <w:r w:rsidRPr="0081199A">
        <w:rPr>
          <w:rFonts w:ascii="Times New Roman" w:hAnsi="Times New Roman" w:cs="Times New Roman"/>
        </w:rPr>
        <w:t xml:space="preserve">, </w:t>
      </w:r>
      <w:proofErr w:type="spellStart"/>
      <w:r w:rsidRPr="0081199A">
        <w:rPr>
          <w:rFonts w:ascii="Times New Roman" w:hAnsi="Times New Roman" w:cs="Times New Roman"/>
        </w:rPr>
        <w:t>Sotgiu</w:t>
      </w:r>
      <w:proofErr w:type="spellEnd"/>
      <w:r w:rsidRPr="0081199A">
        <w:rPr>
          <w:rFonts w:ascii="Times New Roman" w:hAnsi="Times New Roman" w:cs="Times New Roman"/>
        </w:rPr>
        <w:t>, &amp;</w:t>
      </w:r>
      <w:proofErr w:type="spellStart"/>
      <w:r w:rsidRPr="0081199A">
        <w:rPr>
          <w:rFonts w:ascii="Times New Roman" w:hAnsi="Times New Roman" w:cs="Times New Roman"/>
        </w:rPr>
        <w:t>Settanni</w:t>
      </w:r>
      <w:proofErr w:type="spellEnd"/>
      <w:r w:rsidRPr="0081199A">
        <w:rPr>
          <w:rFonts w:ascii="Times New Roman" w:hAnsi="Times New Roman" w:cs="Times New Roman"/>
        </w:rPr>
        <w:t>, 2007)</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4.4 Trainee’s adopted protective behavior item scores</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b/>
        </w:rPr>
        <w:tab/>
      </w:r>
      <w:r w:rsidRPr="0081199A">
        <w:rPr>
          <w:rFonts w:ascii="Times New Roman" w:hAnsi="Times New Roman" w:cs="Times New Roman"/>
        </w:rPr>
        <w:t>Hence in the long run, the trainees who were trained by the GS trained trainer are learning in the continuous process, which made their individual flood management achieve higher capacity than the trainees who were trained by the traditional lecture trained trainer, not to mention that they adopted all 10 behaviors to tackle with the flood disaster and more importantly, the trainee became the CBFM trainer for their community as they managed to persuade the other resident to agree, revise and learn about community-based flood management altogether.</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Encouraged by the result and the interview with the trainee from Watsaimar community that mention “The training with the students (team B) made us understand the important of the flood knowledge transfer and collaboration with other stakeholders that related to CBFM such as the university, local government, NGOs, etc. that was the reason why we tried to involve the other team to work together and distribute what we learn to them and other people who could not participate in the training as well” (trainee A, 2013), the author had a small interview with leader of Watsaimar community and Donmuang district municipality officer, regarding the developed plan and the reaction from the community people after the training, both of them mentioned that they were already joint together and also collaborated with the students from Architecture and Urban Planning Thammasat University (APTU) to work in accordance to the plan they developed (many other sectors are in the talk for collaboration). Watsaimar community was indicated as the flagship community in the CBFM of Donmuang district for the other community to come, learn from them and follow their footstep, by the aid of the student trainers, the Hyuuchalern community (another trainee of this research) are also joining the program and in the process to be appointed as another pilot community for Donmuang district.</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In two months period after the training of Gaming-simulation trained trainer, the trainees were not only improved individually but they were also influencing the whole community to participate and collaborate with the government sector for the continuing of community-based management planning within their district area.  (See figure 4.5)</w:t>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1B2649F7" wp14:editId="26F0572F">
            <wp:extent cx="4799965" cy="2923540"/>
            <wp:effectExtent l="0" t="0" r="63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r="21717"/>
                    <a:stretch/>
                  </pic:blipFill>
                  <pic:spPr bwMode="auto">
                    <a:xfrm>
                      <a:off x="0" y="0"/>
                      <a:ext cx="4799965" cy="2923540"/>
                    </a:xfrm>
                    <a:prstGeom prst="rect">
                      <a:avLst/>
                    </a:prstGeom>
                    <a:noFill/>
                    <a:ln>
                      <a:noFill/>
                    </a:ln>
                    <a:extLst>
                      <a:ext uri="{53640926-AAD7-44d8-BBD7-CCE9431645EC}">
                        <a14:shadowObscured xmlns:a14="http://schemas.microsoft.com/office/drawing/2010/main"/>
                      </a:ext>
                    </a:extLst>
                  </pic:spPr>
                </pic:pic>
              </a:graphicData>
            </a:graphic>
          </wp:inline>
        </w:drawing>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4.5 Direct and indirect impact of gaming simulation training for trainer</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5. Conclusion</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The different impact of GS compare to traditional lecture is that GS could train the trainer about the way to deal with the resident and the resident point of view. Which also gave the external mindset to the trainer</w:t>
      </w:r>
      <w:proofErr w:type="gramStart"/>
      <w:r w:rsidRPr="0081199A">
        <w:rPr>
          <w:rFonts w:ascii="Times New Roman" w:hAnsi="Times New Roman" w:cs="Times New Roman"/>
        </w:rPr>
        <w:t>;</w:t>
      </w:r>
      <w:proofErr w:type="gramEnd"/>
      <w:r w:rsidRPr="0081199A">
        <w:rPr>
          <w:rFonts w:ascii="Times New Roman" w:hAnsi="Times New Roman" w:cs="Times New Roman"/>
        </w:rPr>
        <w:t xml:space="preserve"> the traditional lecture is just the individual way of learning, the learners just grasped the idea or the content of the lecture and interpreted by themselves without any consideration for the other. On contrary, role-play gaming simulation let the player adopt other people role, experience the simulated situation, which force them to think as the whole society, negotiate and interact with other in order to finish the game, so the players have to think and concern about the other and at the same time get the mindset of the whole society. (See figure 5.1)  </w:t>
      </w:r>
    </w:p>
    <w:p w:rsidR="0081199A" w:rsidRPr="0081199A" w:rsidRDefault="0081199A" w:rsidP="0081199A">
      <w:pPr>
        <w:jc w:val="center"/>
        <w:rPr>
          <w:rFonts w:ascii="Times New Roman" w:hAnsi="Times New Roman" w:cs="Times New Roman"/>
        </w:rPr>
      </w:pPr>
      <w:r w:rsidRPr="0081199A">
        <w:rPr>
          <w:rFonts w:ascii="Times New Roman" w:hAnsi="Times New Roman" w:cs="Times New Roman"/>
        </w:rPr>
        <w:drawing>
          <wp:inline distT="0" distB="0" distL="0" distR="0" wp14:anchorId="706F0A3E" wp14:editId="6EE8CF93">
            <wp:extent cx="3672205" cy="2171065"/>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ve.pdf"/>
                    <pic:cNvPicPr/>
                  </pic:nvPicPr>
                  <pic:blipFill>
                    <a:blip r:embed="rId22">
                      <a:extLst>
                        <a:ext uri="{28A0092B-C50C-407E-A947-70E740481C1C}">
                          <a14:useLocalDpi xmlns:a14="http://schemas.microsoft.com/office/drawing/2010/main" val="0"/>
                        </a:ext>
                      </a:extLst>
                    </a:blip>
                    <a:stretch>
                      <a:fillRect/>
                    </a:stretch>
                  </pic:blipFill>
                  <pic:spPr>
                    <a:xfrm>
                      <a:off x="0" y="0"/>
                      <a:ext cx="3672205" cy="2171065"/>
                    </a:xfrm>
                    <a:prstGeom prst="rect">
                      <a:avLst/>
                    </a:prstGeom>
                  </pic:spPr>
                </pic:pic>
              </a:graphicData>
            </a:graphic>
          </wp:inline>
        </w:drawing>
      </w:r>
      <w:bookmarkStart w:id="0" w:name="_GoBack"/>
      <w:bookmarkEnd w:id="0"/>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Figure 5.1 Adopted mindset of the trainer after the training</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Gaming simulation training provided them the opportunities to look back on what they have done, their decision, their lesson learnt after they finished the activity (debriefing), as underlined by many gaming simulation professions that the process of debriefing is indispensable in gaming simulation, it is crucial for ensuring the effectiveness of the tool, by allowing the facilitator and the player to reflect upon what has taken place, analyzing the consequences of actions and the quality of arguments. Substantially, debriefing is an essential part of the process of consolidating new knowledge and deepening understanding, which teach the trainer how to learn from their mistake and make improvement from that progress, further from every experience they had encounter, while the traditional lecture does not provide any chance for this process at all.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Lastly, gaming simulation had the advantage of “Learning by doing”, students learned about community meeting and CBFM planning many times in the simulation, they failed, they were struggle and in the end they accomplished it by undergo through “Learning by doing”.  With GS, they comprehended those lessons by experiencing it firsthand and the normal lecture could not provide them with this merit, the different between the two emerged while facing the real community, which the GS trainers were well prepared to face with the situation and what to come during that activity, much more preferable than traditional lecture trainers.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The trainees (trained by GS trainer) were encouraged to exchange their thought and to do brainstorming activity by GS trainer, later on they were very enthusiastic to further conduct those activities with the others. Moreover, the notion of thinking as a whole community was apparent in the trainees who were trained by GS trainer and this is one of the crucial point that lead to the successful result of those trainer and eventually the successive planning process in the community.</w:t>
      </w: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rPr>
        <w:tab/>
        <w:t xml:space="preserve"> In the long-term, trainer B would still be learning and improving in the training for the community people not just only remembering the contents of the flood management but they could get a far better result.  Specifically in risk awareness, risk perception, adopted protective behavior and knowledge of flood protection measure.  They could still remember the content properly and better progress with many remarkable results, as can be seen through the failure of A team that could not complete their community-based flood management planning.</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For the case of community trainee, they were progressing as well, both in their individual CBFM capacity and the whole community capacity, as shown in their second posttest, for instance, their individual adopted protective behavior, their cooperation in flood management, the continuing of flood management plan, which did not stop after the training. The trainees additionally adopted the role of the trainer to train and educate the other trainee and the remaining resident about </w:t>
      </w:r>
      <w:proofErr w:type="gramStart"/>
      <w:r w:rsidRPr="0081199A">
        <w:rPr>
          <w:rFonts w:ascii="Times New Roman" w:hAnsi="Times New Roman" w:cs="Times New Roman"/>
        </w:rPr>
        <w:t>CBFM,</w:t>
      </w:r>
      <w:proofErr w:type="gramEnd"/>
      <w:r w:rsidRPr="0081199A">
        <w:rPr>
          <w:rFonts w:ascii="Times New Roman" w:hAnsi="Times New Roman" w:cs="Times New Roman"/>
        </w:rPr>
        <w:t xml:space="preserve"> they are encouraging the work of multi-disciplinary group consists of the government, university, NGOs and other communities.  This is also one of the prominent elements of GS, which has better indirect effect on the second or third step of learning process, not the same as the lecture that has almost no indirect effect in the onward stage of learning after the lecture was given.</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 xml:space="preserve">6. Recommendation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The way forward, what is needed to be concerned if the community people adopt the role of trainers themselves, in the long run, how will the community be strengthened to work well by themselves and with organization likewise. Through the changing of generation, there will be the lost of succession or the mobility of living </w:t>
      </w:r>
      <w:proofErr w:type="gramStart"/>
      <w:r w:rsidRPr="0081199A">
        <w:rPr>
          <w:rFonts w:ascii="Times New Roman" w:hAnsi="Times New Roman" w:cs="Times New Roman"/>
        </w:rPr>
        <w:t>place,</w:t>
      </w:r>
      <w:proofErr w:type="gramEnd"/>
      <w:r w:rsidRPr="0081199A">
        <w:rPr>
          <w:rFonts w:ascii="Times New Roman" w:hAnsi="Times New Roman" w:cs="Times New Roman"/>
        </w:rPr>
        <w:t xml:space="preserve"> consequently those lessons-learn will vanish along the way.  Even still, the student trainer which in this case acting as an avocation trainer have ignited the issue of CBFM in the community and provided them with essential notion already, nevertheless, there will be the need of checkpoint or intervention to measure and check the dynamic of local learning process, in the way that can encourage the community people to perceive that their community still possess the risk of flood disaster, then aware of themselves and adopt their behavior base on their understanding and cooperate with the whole community to successfully manage the CBFM plan in the span of generation to come.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 xml:space="preserve">As it already shown in Donmuang district, the whole area are in process to adopt the CBFM concept with this research case study as leading role model for other community. Whereupon, our long-term goal is to further conduct this kind of innovative training in different community/ area and further develop additional tools and assessment model in assistant to expand the critical work of this multi disciplinary team (local community, university, government, etc.), for the sake of the succession of community-based flood management notion in Thailand. </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ab/>
        <w:t>Potentially, using this research’s finding as a stepping-stone, we might achieve new feasibility of collaborative planning process approach that the local community can stand in equal ground with the government and expert. Additionally, they can share the responsibility and confederate simultaneously well to improve the urban and disaster planning in our society.</w:t>
      </w:r>
      <w:r w:rsidRPr="0081199A">
        <w:rPr>
          <w:rFonts w:ascii="Times New Roman" w:hAnsi="Times New Roman" w:cs="Times New Roman"/>
        </w:rPr>
        <w:tab/>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b/>
        </w:rPr>
      </w:pPr>
      <w:r w:rsidRPr="0081199A">
        <w:rPr>
          <w:rFonts w:ascii="Times New Roman" w:hAnsi="Times New Roman" w:cs="Times New Roman"/>
          <w:b/>
        </w:rPr>
        <w:t>References</w:t>
      </w:r>
    </w:p>
    <w:p w:rsidR="0081199A" w:rsidRPr="0081199A" w:rsidRDefault="0081199A" w:rsidP="0081199A">
      <w:pPr>
        <w:jc w:val="both"/>
        <w:rPr>
          <w:rFonts w:ascii="Times New Roman" w:hAnsi="Times New Roman" w:cs="Times New Roman"/>
          <w:b/>
        </w:rPr>
      </w:pPr>
    </w:p>
    <w:p w:rsidR="0081199A" w:rsidRPr="0081199A" w:rsidRDefault="0081199A" w:rsidP="0081199A">
      <w:pPr>
        <w:jc w:val="both"/>
        <w:rPr>
          <w:rFonts w:ascii="Times New Roman" w:hAnsi="Times New Roman" w:cs="Times New Roman"/>
        </w:rPr>
      </w:pPr>
      <w:proofErr w:type="spellStart"/>
      <w:r w:rsidRPr="0081199A">
        <w:rPr>
          <w:rFonts w:ascii="Times New Roman" w:hAnsi="Times New Roman" w:cs="Times New Roman"/>
        </w:rPr>
        <w:t>Bonwell</w:t>
      </w:r>
      <w:proofErr w:type="spellEnd"/>
      <w:r w:rsidRPr="0081199A">
        <w:rPr>
          <w:rFonts w:ascii="Times New Roman" w:hAnsi="Times New Roman" w:cs="Times New Roman"/>
        </w:rPr>
        <w:t>, C. C. (1996)</w:t>
      </w:r>
      <w:proofErr w:type="gramStart"/>
      <w:r w:rsidRPr="0081199A">
        <w:rPr>
          <w:rFonts w:ascii="Times New Roman" w:hAnsi="Times New Roman" w:cs="Times New Roman"/>
        </w:rPr>
        <w:t>.</w:t>
      </w:r>
      <w:r w:rsidRPr="0081199A">
        <w:rPr>
          <w:rFonts w:ascii="Times New Roman" w:hAnsi="Times New Roman" w:cs="Times New Roman"/>
          <w:i/>
        </w:rPr>
        <w:t>Enhancing</w:t>
      </w:r>
      <w:proofErr w:type="gramEnd"/>
      <w:r w:rsidRPr="0081199A">
        <w:rPr>
          <w:rFonts w:ascii="Times New Roman" w:hAnsi="Times New Roman" w:cs="Times New Roman"/>
          <w:i/>
        </w:rPr>
        <w:t xml:space="preserve"> the lecture: Revitalizing a traditional format</w:t>
      </w:r>
      <w:r w:rsidRPr="0081199A">
        <w:rPr>
          <w:rFonts w:ascii="Times New Roman" w:hAnsi="Times New Roman" w:cs="Times New Roman"/>
        </w:rPr>
        <w:t>. New Directions for Teaching and Learning, (1996), p. 31–44</w:t>
      </w:r>
    </w:p>
    <w:p w:rsidR="0081199A" w:rsidRPr="0081199A" w:rsidRDefault="0081199A" w:rsidP="0081199A">
      <w:pPr>
        <w:jc w:val="both"/>
        <w:rPr>
          <w:rFonts w:ascii="Times New Roman" w:hAnsi="Times New Roman" w:cs="Times New Roman"/>
        </w:rPr>
      </w:pPr>
      <w:proofErr w:type="spellStart"/>
      <w:r w:rsidRPr="0081199A">
        <w:rPr>
          <w:rFonts w:ascii="Times New Roman" w:hAnsi="Times New Roman" w:cs="Times New Roman"/>
        </w:rPr>
        <w:t>Cashin</w:t>
      </w:r>
      <w:proofErr w:type="spellEnd"/>
      <w:r w:rsidRPr="0081199A">
        <w:rPr>
          <w:rFonts w:ascii="Times New Roman" w:hAnsi="Times New Roman" w:cs="Times New Roman"/>
        </w:rPr>
        <w:t xml:space="preserve">, W. E. (1985). </w:t>
      </w:r>
      <w:r w:rsidRPr="0081199A">
        <w:rPr>
          <w:rFonts w:ascii="Times New Roman" w:hAnsi="Times New Roman" w:cs="Times New Roman"/>
          <w:i/>
        </w:rPr>
        <w:t>Improving Lecture Idea Paper No. 14</w:t>
      </w:r>
      <w:r w:rsidRPr="0081199A">
        <w:rPr>
          <w:rFonts w:ascii="Times New Roman" w:hAnsi="Times New Roman" w:cs="Times New Roman"/>
        </w:rPr>
        <w:t xml:space="preserve">. Manhattan Kansas: State University, Center for Faculty Evaluation and Development </w:t>
      </w:r>
    </w:p>
    <w:p w:rsidR="0081199A" w:rsidRPr="0081199A" w:rsidRDefault="0081199A" w:rsidP="0081199A">
      <w:pPr>
        <w:jc w:val="both"/>
        <w:rPr>
          <w:rFonts w:ascii="Times New Roman" w:hAnsi="Times New Roman" w:cs="Times New Roman"/>
          <w:i/>
        </w:rPr>
      </w:pPr>
      <w:r w:rsidRPr="0081199A">
        <w:rPr>
          <w:rFonts w:ascii="Times New Roman" w:hAnsi="Times New Roman" w:cs="Times New Roman"/>
        </w:rPr>
        <w:t>Chen, Y</w:t>
      </w:r>
      <w:proofErr w:type="gramStart"/>
      <w:r w:rsidRPr="0081199A">
        <w:rPr>
          <w:rFonts w:ascii="Times New Roman" w:hAnsi="Times New Roman" w:cs="Times New Roman"/>
        </w:rPr>
        <w:t>.-</w:t>
      </w:r>
      <w:proofErr w:type="gramEnd"/>
      <w:r w:rsidRPr="0081199A">
        <w:rPr>
          <w:rFonts w:ascii="Times New Roman" w:hAnsi="Times New Roman" w:cs="Times New Roman"/>
        </w:rPr>
        <w:t>F.,</w:t>
      </w:r>
      <w:proofErr w:type="spellStart"/>
      <w:r w:rsidRPr="0081199A">
        <w:rPr>
          <w:rFonts w:ascii="Times New Roman" w:hAnsi="Times New Roman" w:cs="Times New Roman"/>
        </w:rPr>
        <w:t>Borodzicz</w:t>
      </w:r>
      <w:proofErr w:type="spellEnd"/>
      <w:r w:rsidRPr="0081199A">
        <w:rPr>
          <w:rFonts w:ascii="Times New Roman" w:hAnsi="Times New Roman" w:cs="Times New Roman"/>
        </w:rPr>
        <w:t>, E. P., &amp; Chao, J.-M. (2004).</w:t>
      </w:r>
      <w:r w:rsidRPr="0081199A">
        <w:rPr>
          <w:rFonts w:ascii="Times New Roman" w:hAnsi="Times New Roman" w:cs="Times New Roman"/>
          <w:i/>
        </w:rPr>
        <w:t>Flood Management: A simulation and gaming perspective</w:t>
      </w:r>
      <w:r w:rsidRPr="0081199A">
        <w:rPr>
          <w:rFonts w:ascii="Times New Roman" w:hAnsi="Times New Roman" w:cs="Times New Roman"/>
        </w:rPr>
        <w:t>, ESEVIER Ltd</w:t>
      </w:r>
    </w:p>
    <w:p w:rsidR="0081199A" w:rsidRPr="0081199A" w:rsidRDefault="0081199A" w:rsidP="0081199A">
      <w:pPr>
        <w:jc w:val="both"/>
        <w:rPr>
          <w:rFonts w:ascii="Times New Roman" w:hAnsi="Times New Roman" w:cs="Times New Roman"/>
          <w:i/>
        </w:rPr>
      </w:pPr>
      <w:r w:rsidRPr="0081199A">
        <w:rPr>
          <w:rFonts w:ascii="Times New Roman" w:hAnsi="Times New Roman" w:cs="Times New Roman"/>
        </w:rPr>
        <w:t xml:space="preserve">Duke, R. D. (1974). </w:t>
      </w:r>
      <w:r w:rsidRPr="0081199A">
        <w:rPr>
          <w:rFonts w:ascii="Times New Roman" w:hAnsi="Times New Roman" w:cs="Times New Roman"/>
          <w:i/>
        </w:rPr>
        <w:t>Gaming: the Future’s Language</w:t>
      </w:r>
      <w:r w:rsidRPr="0081199A">
        <w:rPr>
          <w:rFonts w:ascii="Times New Roman" w:hAnsi="Times New Roman" w:cs="Times New Roman"/>
        </w:rPr>
        <w:t>, Sage publication</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Dynes, R. R. (2003)</w:t>
      </w:r>
      <w:proofErr w:type="gramStart"/>
      <w:r w:rsidRPr="0081199A">
        <w:rPr>
          <w:rFonts w:ascii="Times New Roman" w:hAnsi="Times New Roman" w:cs="Times New Roman"/>
        </w:rPr>
        <w:t>.</w:t>
      </w:r>
      <w:r w:rsidRPr="0081199A">
        <w:rPr>
          <w:rFonts w:ascii="Times New Roman" w:hAnsi="Times New Roman" w:cs="Times New Roman"/>
          <w:i/>
        </w:rPr>
        <w:t>Finding</w:t>
      </w:r>
      <w:proofErr w:type="gramEnd"/>
      <w:r w:rsidRPr="0081199A">
        <w:rPr>
          <w:rFonts w:ascii="Times New Roman" w:hAnsi="Times New Roman" w:cs="Times New Roman"/>
          <w:i/>
        </w:rPr>
        <w:t xml:space="preserve"> Order in Disorder: Continuities in the 9-11 Response.</w:t>
      </w:r>
      <w:r w:rsidRPr="0081199A">
        <w:rPr>
          <w:rFonts w:ascii="Times New Roman" w:hAnsi="Times New Roman" w:cs="Times New Roman"/>
        </w:rPr>
        <w:t xml:space="preserve"> International Journal of Mass Emergencies and Disasters, 21 (3), p. 9-23</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bCs/>
        </w:rPr>
        <w:t>E</w:t>
      </w:r>
      <w:r w:rsidRPr="0081199A">
        <w:rPr>
          <w:rFonts w:ascii="Times New Roman" w:hAnsi="Times New Roman" w:cs="Times New Roman"/>
        </w:rPr>
        <w:t>nd </w:t>
      </w:r>
      <w:r w:rsidRPr="0081199A">
        <w:rPr>
          <w:rFonts w:ascii="Times New Roman" w:hAnsi="Times New Roman" w:cs="Times New Roman"/>
          <w:bCs/>
        </w:rPr>
        <w:t>C</w:t>
      </w:r>
      <w:r w:rsidRPr="0081199A">
        <w:rPr>
          <w:rFonts w:ascii="Times New Roman" w:hAnsi="Times New Roman" w:cs="Times New Roman"/>
        </w:rPr>
        <w:t>hild </w:t>
      </w:r>
      <w:r w:rsidRPr="0081199A">
        <w:rPr>
          <w:rFonts w:ascii="Times New Roman" w:hAnsi="Times New Roman" w:cs="Times New Roman"/>
          <w:bCs/>
        </w:rPr>
        <w:t>P</w:t>
      </w:r>
      <w:r w:rsidRPr="0081199A">
        <w:rPr>
          <w:rFonts w:ascii="Times New Roman" w:hAnsi="Times New Roman" w:cs="Times New Roman"/>
        </w:rPr>
        <w:t>rostitution, Child Pornography </w:t>
      </w:r>
      <w:r w:rsidRPr="0081199A">
        <w:rPr>
          <w:rFonts w:ascii="Times New Roman" w:hAnsi="Times New Roman" w:cs="Times New Roman"/>
          <w:bCs/>
        </w:rPr>
        <w:t>A</w:t>
      </w:r>
      <w:r w:rsidRPr="0081199A">
        <w:rPr>
          <w:rFonts w:ascii="Times New Roman" w:hAnsi="Times New Roman" w:cs="Times New Roman"/>
        </w:rPr>
        <w:t>nd </w:t>
      </w:r>
      <w:r w:rsidRPr="0081199A">
        <w:rPr>
          <w:rFonts w:ascii="Times New Roman" w:hAnsi="Times New Roman" w:cs="Times New Roman"/>
          <w:bCs/>
        </w:rPr>
        <w:t>T</w:t>
      </w:r>
      <w:r w:rsidRPr="0081199A">
        <w:rPr>
          <w:rFonts w:ascii="Times New Roman" w:hAnsi="Times New Roman" w:cs="Times New Roman"/>
        </w:rPr>
        <w:t xml:space="preserve">rafficking of Children for Sexual Purposes. (2008). </w:t>
      </w:r>
      <w:r w:rsidRPr="0081199A">
        <w:rPr>
          <w:rFonts w:ascii="Times New Roman" w:hAnsi="Times New Roman" w:cs="Times New Roman"/>
          <w:i/>
        </w:rPr>
        <w:t xml:space="preserve">Training the Trainer, </w:t>
      </w:r>
      <w:r w:rsidRPr="0081199A">
        <w:rPr>
          <w:rFonts w:ascii="Times New Roman" w:hAnsi="Times New Roman" w:cs="Times New Roman"/>
        </w:rPr>
        <w:t>ECPAT Netherland and ECPAT International</w:t>
      </w:r>
      <w:r w:rsidRPr="0081199A">
        <w:rPr>
          <w:rFonts w:ascii="Times New Roman" w:hAnsi="Times New Roman" w:cs="Times New Roman"/>
          <w:i/>
        </w:rPr>
        <w:t xml:space="preserve">, </w:t>
      </w:r>
      <w:r w:rsidRPr="0081199A">
        <w:rPr>
          <w:rFonts w:ascii="Times New Roman" w:hAnsi="Times New Roman" w:cs="Times New Roman"/>
        </w:rPr>
        <w:t xml:space="preserve">p. 1-64 </w:t>
      </w:r>
    </w:p>
    <w:p w:rsidR="0081199A" w:rsidRPr="0081199A" w:rsidRDefault="0081199A" w:rsidP="0081199A">
      <w:pPr>
        <w:jc w:val="both"/>
        <w:rPr>
          <w:rFonts w:ascii="Times New Roman" w:hAnsi="Times New Roman" w:cs="Times New Roman"/>
          <w:bCs/>
          <w:iCs/>
        </w:rPr>
      </w:pPr>
    </w:p>
    <w:p w:rsidR="0081199A" w:rsidRPr="0081199A" w:rsidRDefault="0081199A" w:rsidP="0081199A">
      <w:pPr>
        <w:jc w:val="both"/>
        <w:rPr>
          <w:rFonts w:ascii="Times New Roman" w:hAnsi="Times New Roman" w:cs="Times New Roman"/>
        </w:rPr>
      </w:pPr>
      <w:proofErr w:type="spellStart"/>
      <w:r w:rsidRPr="0081199A">
        <w:rPr>
          <w:rFonts w:ascii="Times New Roman" w:hAnsi="Times New Roman" w:cs="Times New Roman"/>
        </w:rPr>
        <w:t>Farjad</w:t>
      </w:r>
      <w:proofErr w:type="spellEnd"/>
      <w:r w:rsidRPr="0081199A">
        <w:rPr>
          <w:rFonts w:ascii="Times New Roman" w:hAnsi="Times New Roman" w:cs="Times New Roman"/>
        </w:rPr>
        <w:t>, S. (2012)</w:t>
      </w:r>
      <w:proofErr w:type="gramStart"/>
      <w:r w:rsidRPr="0081199A">
        <w:rPr>
          <w:rFonts w:ascii="Times New Roman" w:hAnsi="Times New Roman" w:cs="Times New Roman"/>
        </w:rPr>
        <w:t>.</w:t>
      </w:r>
      <w:r w:rsidRPr="0081199A">
        <w:rPr>
          <w:rFonts w:ascii="Times New Roman" w:hAnsi="Times New Roman" w:cs="Times New Roman"/>
          <w:i/>
        </w:rPr>
        <w:t>The</w:t>
      </w:r>
      <w:proofErr w:type="gramEnd"/>
      <w:r w:rsidRPr="0081199A">
        <w:rPr>
          <w:rFonts w:ascii="Times New Roman" w:hAnsi="Times New Roman" w:cs="Times New Roman"/>
          <w:i/>
        </w:rPr>
        <w:t xml:space="preserve"> Evaluation Effectiveness of training courses in University by Kirkpatrick Model (case study: </w:t>
      </w:r>
      <w:proofErr w:type="spellStart"/>
      <w:r w:rsidRPr="0081199A">
        <w:rPr>
          <w:rFonts w:ascii="Times New Roman" w:hAnsi="Times New Roman" w:cs="Times New Roman"/>
          <w:i/>
        </w:rPr>
        <w:t>Islamshahr</w:t>
      </w:r>
      <w:proofErr w:type="spellEnd"/>
      <w:r w:rsidRPr="0081199A">
        <w:rPr>
          <w:rFonts w:ascii="Times New Roman" w:hAnsi="Times New Roman" w:cs="Times New Roman"/>
          <w:i/>
        </w:rPr>
        <w:t xml:space="preserve"> university),</w:t>
      </w:r>
      <w:r w:rsidRPr="0081199A">
        <w:rPr>
          <w:rFonts w:ascii="Times New Roman" w:hAnsi="Times New Roman" w:cs="Times New Roman"/>
        </w:rPr>
        <w:t>ELSEVIER Ltd</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lang w:val="de-DE"/>
        </w:rPr>
      </w:pPr>
      <w:proofErr w:type="spellStart"/>
      <w:r w:rsidRPr="0081199A">
        <w:rPr>
          <w:rFonts w:ascii="Times New Roman" w:hAnsi="Times New Roman" w:cs="Times New Roman"/>
          <w:lang w:val="de-DE"/>
        </w:rPr>
        <w:t>Geurts</w:t>
      </w:r>
      <w:proofErr w:type="spellEnd"/>
      <w:r w:rsidRPr="0081199A">
        <w:rPr>
          <w:rFonts w:ascii="Times New Roman" w:hAnsi="Times New Roman" w:cs="Times New Roman"/>
          <w:lang w:val="de-DE"/>
        </w:rPr>
        <w:t>, J. L. A., Duke, R. D., &amp;</w:t>
      </w:r>
      <w:proofErr w:type="spellStart"/>
      <w:r w:rsidRPr="0081199A">
        <w:rPr>
          <w:rFonts w:ascii="Times New Roman" w:hAnsi="Times New Roman" w:cs="Times New Roman"/>
          <w:lang w:val="de-DE"/>
        </w:rPr>
        <w:t>Vermeulen</w:t>
      </w:r>
      <w:proofErr w:type="spellEnd"/>
      <w:r w:rsidRPr="0081199A">
        <w:rPr>
          <w:rFonts w:ascii="Times New Roman" w:hAnsi="Times New Roman" w:cs="Times New Roman"/>
          <w:lang w:val="de-DE"/>
        </w:rPr>
        <w:t xml:space="preserve">, P. A. M. (2007). </w:t>
      </w:r>
      <w:proofErr w:type="spellStart"/>
      <w:r w:rsidRPr="0081199A">
        <w:rPr>
          <w:rFonts w:ascii="Times New Roman" w:hAnsi="Times New Roman" w:cs="Times New Roman"/>
          <w:i/>
          <w:lang w:val="de-DE"/>
        </w:rPr>
        <w:t>Policy</w:t>
      </w:r>
      <w:proofErr w:type="spellEnd"/>
      <w:r w:rsidRPr="0081199A">
        <w:rPr>
          <w:rFonts w:ascii="Times New Roman" w:hAnsi="Times New Roman" w:cs="Times New Roman"/>
          <w:i/>
          <w:lang w:val="de-DE"/>
        </w:rPr>
        <w:t xml:space="preserve"> Gaming </w:t>
      </w:r>
      <w:proofErr w:type="spellStart"/>
      <w:r w:rsidRPr="0081199A">
        <w:rPr>
          <w:rFonts w:ascii="Times New Roman" w:hAnsi="Times New Roman" w:cs="Times New Roman"/>
          <w:i/>
          <w:lang w:val="de-DE"/>
        </w:rPr>
        <w:t>forStrategyand</w:t>
      </w:r>
      <w:proofErr w:type="spellEnd"/>
      <w:r w:rsidRPr="0081199A">
        <w:rPr>
          <w:rFonts w:ascii="Times New Roman" w:hAnsi="Times New Roman" w:cs="Times New Roman"/>
          <w:i/>
          <w:lang w:val="de-DE"/>
        </w:rPr>
        <w:t xml:space="preserve"> Change</w:t>
      </w:r>
      <w:r w:rsidRPr="0081199A">
        <w:rPr>
          <w:rFonts w:ascii="Times New Roman" w:hAnsi="Times New Roman" w:cs="Times New Roman"/>
          <w:lang w:val="de-DE"/>
        </w:rPr>
        <w:t xml:space="preserve">, Long Range </w:t>
      </w:r>
      <w:proofErr w:type="spellStart"/>
      <w:r w:rsidRPr="0081199A">
        <w:rPr>
          <w:rFonts w:ascii="Times New Roman" w:hAnsi="Times New Roman" w:cs="Times New Roman"/>
          <w:lang w:val="de-DE"/>
        </w:rPr>
        <w:t>Planning</w:t>
      </w:r>
      <w:proofErr w:type="spellEnd"/>
      <w:r w:rsidRPr="0081199A">
        <w:rPr>
          <w:rFonts w:ascii="Times New Roman" w:hAnsi="Times New Roman" w:cs="Times New Roman"/>
          <w:lang w:val="de-DE"/>
        </w:rPr>
        <w:t xml:space="preserve"> 40 (2007), p. 535-558</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 xml:space="preserve">Kirkpatrick, J., &amp; Kirkpatrick, W. K. (2009). </w:t>
      </w:r>
      <w:r w:rsidRPr="0081199A">
        <w:rPr>
          <w:rFonts w:ascii="Times New Roman" w:hAnsi="Times New Roman" w:cs="Times New Roman"/>
          <w:i/>
        </w:rPr>
        <w:t xml:space="preserve">The Kirkpatrick Four Level </w:t>
      </w:r>
      <w:r w:rsidRPr="0081199A">
        <w:rPr>
          <w:rFonts w:ascii="Times New Roman" w:hAnsi="Times New Roman" w:cs="Times New Roman"/>
          <w:i/>
          <w:vertAlign w:val="superscript"/>
        </w:rPr>
        <w:t>TM</w:t>
      </w:r>
      <w:r w:rsidRPr="0081199A">
        <w:rPr>
          <w:rFonts w:ascii="Times New Roman" w:hAnsi="Times New Roman" w:cs="Times New Roman"/>
          <w:i/>
        </w:rPr>
        <w:t>: A Fresh Look After 50 Years 1959-2009</w:t>
      </w:r>
      <w:r w:rsidRPr="0081199A">
        <w:rPr>
          <w:rFonts w:ascii="Times New Roman" w:hAnsi="Times New Roman" w:cs="Times New Roman"/>
        </w:rPr>
        <w:t>, Kirkpatrick Partners</w:t>
      </w:r>
      <w:r w:rsidRPr="0081199A">
        <w:rPr>
          <w:rFonts w:ascii="Times New Roman" w:hAnsi="Times New Roman" w:cs="Times New Roman"/>
          <w:i/>
        </w:rPr>
        <w:t xml:space="preserve">, </w:t>
      </w:r>
      <w:r w:rsidRPr="0081199A">
        <w:rPr>
          <w:rFonts w:ascii="Times New Roman" w:hAnsi="Times New Roman" w:cs="Times New Roman"/>
        </w:rPr>
        <w:t>p. 1-12</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proofErr w:type="spellStart"/>
      <w:r w:rsidRPr="0081199A">
        <w:rPr>
          <w:rFonts w:ascii="Times New Roman" w:hAnsi="Times New Roman" w:cs="Times New Roman"/>
        </w:rPr>
        <w:t>Lupou</w:t>
      </w:r>
      <w:proofErr w:type="spellEnd"/>
      <w:r w:rsidRPr="0081199A">
        <w:rPr>
          <w:rFonts w:ascii="Times New Roman" w:hAnsi="Times New Roman" w:cs="Times New Roman"/>
        </w:rPr>
        <w:t xml:space="preserve">, R., </w:t>
      </w:r>
      <w:proofErr w:type="spellStart"/>
      <w:r w:rsidRPr="0081199A">
        <w:rPr>
          <w:rFonts w:ascii="Times New Roman" w:hAnsi="Times New Roman" w:cs="Times New Roman"/>
        </w:rPr>
        <w:t>Nuissl</w:t>
      </w:r>
      <w:proofErr w:type="spellEnd"/>
      <w:r w:rsidRPr="0081199A">
        <w:rPr>
          <w:rFonts w:ascii="Times New Roman" w:hAnsi="Times New Roman" w:cs="Times New Roman"/>
        </w:rPr>
        <w:t xml:space="preserve">, E., &amp; Sava, S.  (2010). </w:t>
      </w:r>
      <w:r w:rsidRPr="0081199A">
        <w:rPr>
          <w:rFonts w:ascii="Times New Roman" w:hAnsi="Times New Roman" w:cs="Times New Roman"/>
          <w:i/>
        </w:rPr>
        <w:t>Credibility of trainer’s competences assessment</w:t>
      </w:r>
      <w:r w:rsidRPr="0081199A">
        <w:rPr>
          <w:rFonts w:ascii="Times New Roman" w:hAnsi="Times New Roman" w:cs="Times New Roman"/>
        </w:rPr>
        <w:t>, ELSEVIER Ltd</w:t>
      </w:r>
    </w:p>
    <w:p w:rsidR="0081199A" w:rsidRPr="0081199A" w:rsidRDefault="0081199A" w:rsidP="0081199A">
      <w:pPr>
        <w:jc w:val="both"/>
        <w:rPr>
          <w:rFonts w:ascii="Times New Roman" w:hAnsi="Times New Roman" w:cs="Times New Roman"/>
        </w:rPr>
      </w:pPr>
      <w:proofErr w:type="gramStart"/>
      <w:r w:rsidRPr="0081199A">
        <w:rPr>
          <w:rFonts w:ascii="Times New Roman" w:hAnsi="Times New Roman" w:cs="Times New Roman"/>
        </w:rPr>
        <w:t xml:space="preserve">Mayer, I. S., Carton, L., de Jong, M., </w:t>
      </w:r>
      <w:proofErr w:type="spellStart"/>
      <w:r w:rsidRPr="0081199A">
        <w:rPr>
          <w:rFonts w:ascii="Times New Roman" w:hAnsi="Times New Roman" w:cs="Times New Roman"/>
        </w:rPr>
        <w:t>Leijten</w:t>
      </w:r>
      <w:proofErr w:type="spellEnd"/>
      <w:r w:rsidRPr="0081199A">
        <w:rPr>
          <w:rFonts w:ascii="Times New Roman" w:hAnsi="Times New Roman" w:cs="Times New Roman"/>
        </w:rPr>
        <w:t>, M., &amp;</w:t>
      </w:r>
      <w:proofErr w:type="spellStart"/>
      <w:r w:rsidRPr="0081199A">
        <w:rPr>
          <w:rFonts w:ascii="Times New Roman" w:hAnsi="Times New Roman" w:cs="Times New Roman"/>
        </w:rPr>
        <w:t>Dammers</w:t>
      </w:r>
      <w:proofErr w:type="spellEnd"/>
      <w:r w:rsidRPr="0081199A">
        <w:rPr>
          <w:rFonts w:ascii="Times New Roman" w:hAnsi="Times New Roman" w:cs="Times New Roman"/>
        </w:rPr>
        <w:t>, E. (2004).</w:t>
      </w:r>
      <w:proofErr w:type="gramEnd"/>
      <w:r w:rsidRPr="0081199A">
        <w:rPr>
          <w:rFonts w:ascii="Times New Roman" w:hAnsi="Times New Roman" w:cs="Times New Roman"/>
        </w:rPr>
        <w:t xml:space="preserve"> </w:t>
      </w:r>
      <w:r w:rsidRPr="0081199A">
        <w:rPr>
          <w:rFonts w:ascii="Times New Roman" w:hAnsi="Times New Roman" w:cs="Times New Roman"/>
          <w:i/>
        </w:rPr>
        <w:t>Gaming the future of an urban network Netherland</w:t>
      </w:r>
      <w:r w:rsidRPr="0081199A">
        <w:rPr>
          <w:rFonts w:ascii="Times New Roman" w:hAnsi="Times New Roman" w:cs="Times New Roman"/>
        </w:rPr>
        <w:t xml:space="preserve">, </w:t>
      </w:r>
      <w:r w:rsidRPr="0081199A">
        <w:rPr>
          <w:rFonts w:ascii="Times New Roman" w:hAnsi="Times New Roman" w:cs="Times New Roman"/>
          <w:lang w:val="de-DE"/>
        </w:rPr>
        <w:t xml:space="preserve">ELSEVIER Ltd </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proofErr w:type="spellStart"/>
      <w:r w:rsidRPr="0081199A">
        <w:rPr>
          <w:rFonts w:ascii="Times New Roman" w:hAnsi="Times New Roman" w:cs="Times New Roman"/>
        </w:rPr>
        <w:t>Mendonça</w:t>
      </w:r>
      <w:proofErr w:type="spellEnd"/>
      <w:r w:rsidRPr="0081199A">
        <w:rPr>
          <w:rFonts w:ascii="Times New Roman" w:hAnsi="Times New Roman" w:cs="Times New Roman"/>
        </w:rPr>
        <w:t xml:space="preserve">, D., </w:t>
      </w:r>
      <w:proofErr w:type="spellStart"/>
      <w:r w:rsidRPr="0081199A">
        <w:rPr>
          <w:rFonts w:ascii="Times New Roman" w:hAnsi="Times New Roman" w:cs="Times New Roman"/>
        </w:rPr>
        <w:t>Beroggi</w:t>
      </w:r>
      <w:proofErr w:type="spellEnd"/>
      <w:r w:rsidRPr="0081199A">
        <w:rPr>
          <w:rFonts w:ascii="Times New Roman" w:hAnsi="Times New Roman" w:cs="Times New Roman"/>
        </w:rPr>
        <w:t xml:space="preserve">, G. E. </w:t>
      </w:r>
      <w:proofErr w:type="spellStart"/>
      <w:r w:rsidRPr="0081199A">
        <w:rPr>
          <w:rFonts w:ascii="Times New Roman" w:hAnsi="Times New Roman" w:cs="Times New Roman"/>
        </w:rPr>
        <w:t>G.</w:t>
      </w:r>
      <w:proofErr w:type="gramStart"/>
      <w:r w:rsidRPr="0081199A">
        <w:rPr>
          <w:rFonts w:ascii="Times New Roman" w:hAnsi="Times New Roman" w:cs="Times New Roman"/>
        </w:rPr>
        <w:t>,Gent</w:t>
      </w:r>
      <w:proofErr w:type="spellEnd"/>
      <w:proofErr w:type="gramEnd"/>
      <w:r w:rsidRPr="0081199A">
        <w:rPr>
          <w:rFonts w:ascii="Times New Roman" w:hAnsi="Times New Roman" w:cs="Times New Roman"/>
        </w:rPr>
        <w:t>, D. v., &amp; Wallace, W. A. (2006).</w:t>
      </w:r>
      <w:r w:rsidRPr="0081199A">
        <w:rPr>
          <w:rFonts w:ascii="Times New Roman" w:hAnsi="Times New Roman" w:cs="Times New Roman"/>
          <w:i/>
        </w:rPr>
        <w:t>Designing gaming simulations for the assessment of group decision support systems in emergency response</w:t>
      </w:r>
      <w:r w:rsidRPr="0081199A">
        <w:rPr>
          <w:rFonts w:ascii="Times New Roman" w:hAnsi="Times New Roman" w:cs="Times New Roman"/>
        </w:rPr>
        <w:t>, Safety Science 44 (2006)</w:t>
      </w:r>
      <w:r w:rsidRPr="0081199A">
        <w:rPr>
          <w:rFonts w:ascii="Times New Roman" w:hAnsi="Times New Roman" w:cs="Times New Roman"/>
          <w:i/>
        </w:rPr>
        <w:t xml:space="preserve">, </w:t>
      </w:r>
      <w:r w:rsidRPr="0081199A">
        <w:rPr>
          <w:rFonts w:ascii="Times New Roman" w:hAnsi="Times New Roman" w:cs="Times New Roman"/>
        </w:rPr>
        <w:t>p. 523–535</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proofErr w:type="spellStart"/>
      <w:r w:rsidRPr="0081199A">
        <w:rPr>
          <w:rFonts w:ascii="Times New Roman" w:hAnsi="Times New Roman" w:cs="Times New Roman"/>
        </w:rPr>
        <w:t>Miceli</w:t>
      </w:r>
      <w:proofErr w:type="spellEnd"/>
      <w:r w:rsidRPr="0081199A">
        <w:rPr>
          <w:rFonts w:ascii="Times New Roman" w:hAnsi="Times New Roman" w:cs="Times New Roman"/>
        </w:rPr>
        <w:t xml:space="preserve">, R., </w:t>
      </w:r>
      <w:proofErr w:type="spellStart"/>
      <w:r w:rsidRPr="0081199A">
        <w:rPr>
          <w:rFonts w:ascii="Times New Roman" w:hAnsi="Times New Roman" w:cs="Times New Roman"/>
        </w:rPr>
        <w:t>Sotgiu</w:t>
      </w:r>
      <w:proofErr w:type="spellEnd"/>
      <w:r w:rsidRPr="0081199A">
        <w:rPr>
          <w:rFonts w:ascii="Times New Roman" w:hAnsi="Times New Roman" w:cs="Times New Roman"/>
        </w:rPr>
        <w:t>, &amp;</w:t>
      </w:r>
      <w:proofErr w:type="spellStart"/>
      <w:r w:rsidRPr="0081199A">
        <w:rPr>
          <w:rFonts w:ascii="Times New Roman" w:hAnsi="Times New Roman" w:cs="Times New Roman"/>
        </w:rPr>
        <w:t>Settanni</w:t>
      </w:r>
      <w:proofErr w:type="spellEnd"/>
      <w:r w:rsidRPr="0081199A">
        <w:rPr>
          <w:rFonts w:ascii="Times New Roman" w:hAnsi="Times New Roman" w:cs="Times New Roman"/>
        </w:rPr>
        <w:t xml:space="preserve">, M. (2007). </w:t>
      </w:r>
      <w:r w:rsidRPr="0081199A">
        <w:rPr>
          <w:rFonts w:ascii="Times New Roman" w:hAnsi="Times New Roman" w:cs="Times New Roman"/>
          <w:i/>
        </w:rPr>
        <w:t>Disaster preparedness and perception of flood risk: A study in an alpine valley in Italy,</w:t>
      </w:r>
      <w:r w:rsidRPr="0081199A">
        <w:rPr>
          <w:rFonts w:ascii="Times New Roman" w:hAnsi="Times New Roman" w:cs="Times New Roman"/>
        </w:rPr>
        <w:t xml:space="preserve"> Journal of Environmental Psychology</w:t>
      </w:r>
      <w:r w:rsidRPr="0081199A">
        <w:rPr>
          <w:rFonts w:ascii="Times New Roman" w:hAnsi="Times New Roman" w:cs="Times New Roman"/>
          <w:i/>
        </w:rPr>
        <w:t xml:space="preserve">, </w:t>
      </w:r>
      <w:proofErr w:type="gramStart"/>
      <w:r w:rsidRPr="0081199A">
        <w:rPr>
          <w:rFonts w:ascii="Times New Roman" w:hAnsi="Times New Roman" w:cs="Times New Roman"/>
        </w:rPr>
        <w:t>p</w:t>
      </w:r>
      <w:proofErr w:type="gramEnd"/>
      <w:r w:rsidRPr="0081199A">
        <w:rPr>
          <w:rFonts w:ascii="Times New Roman" w:hAnsi="Times New Roman" w:cs="Times New Roman"/>
        </w:rPr>
        <w:t>. 165-177</w:t>
      </w:r>
    </w:p>
    <w:p w:rsidR="0081199A" w:rsidRPr="0081199A" w:rsidRDefault="0081199A" w:rsidP="0081199A">
      <w:pPr>
        <w:jc w:val="both"/>
        <w:rPr>
          <w:rFonts w:ascii="Times New Roman" w:hAnsi="Times New Roman" w:cs="Times New Roman"/>
        </w:rPr>
      </w:pPr>
      <w:proofErr w:type="gramStart"/>
      <w:r w:rsidRPr="0081199A">
        <w:rPr>
          <w:rFonts w:ascii="Times New Roman" w:hAnsi="Times New Roman" w:cs="Times New Roman"/>
        </w:rPr>
        <w:t xml:space="preserve">Murphy, M. A., </w:t>
      </w:r>
      <w:proofErr w:type="spellStart"/>
      <w:r w:rsidRPr="0081199A">
        <w:rPr>
          <w:rFonts w:ascii="Times New Roman" w:hAnsi="Times New Roman" w:cs="Times New Roman"/>
        </w:rPr>
        <w:t>Neequaye</w:t>
      </w:r>
      <w:proofErr w:type="spellEnd"/>
      <w:r w:rsidRPr="0081199A">
        <w:rPr>
          <w:rFonts w:ascii="Times New Roman" w:hAnsi="Times New Roman" w:cs="Times New Roman"/>
        </w:rPr>
        <w:t xml:space="preserve">, S., </w:t>
      </w:r>
      <w:proofErr w:type="spellStart"/>
      <w:r w:rsidRPr="0081199A">
        <w:rPr>
          <w:rFonts w:ascii="Times New Roman" w:hAnsi="Times New Roman" w:cs="Times New Roman"/>
        </w:rPr>
        <w:t>Kreckler</w:t>
      </w:r>
      <w:proofErr w:type="spellEnd"/>
      <w:r w:rsidRPr="0081199A">
        <w:rPr>
          <w:rFonts w:ascii="Times New Roman" w:hAnsi="Times New Roman" w:cs="Times New Roman"/>
        </w:rPr>
        <w:t>, S., &amp; Hands, L. J. (2008</w:t>
      </w:r>
      <w:r w:rsidRPr="0081199A">
        <w:rPr>
          <w:rFonts w:ascii="Times New Roman" w:hAnsi="Times New Roman" w:cs="Times New Roman"/>
          <w:i/>
        </w:rPr>
        <w:t>).</w:t>
      </w:r>
      <w:proofErr w:type="gramEnd"/>
      <w:r w:rsidRPr="0081199A">
        <w:rPr>
          <w:rFonts w:ascii="Times New Roman" w:hAnsi="Times New Roman" w:cs="Times New Roman"/>
          <w:i/>
        </w:rPr>
        <w:t xml:space="preserve"> </w:t>
      </w:r>
      <w:r w:rsidRPr="0081199A">
        <w:rPr>
          <w:rFonts w:ascii="Times New Roman" w:hAnsi="Times New Roman" w:cs="Times New Roman"/>
          <w:bCs/>
          <w:i/>
        </w:rPr>
        <w:t xml:space="preserve">Should We Train the Trainers? Results of a Randomized </w:t>
      </w:r>
      <w:proofErr w:type="spellStart"/>
      <w:r w:rsidRPr="0081199A">
        <w:rPr>
          <w:rFonts w:ascii="Times New Roman" w:hAnsi="Times New Roman" w:cs="Times New Roman"/>
          <w:bCs/>
          <w:i/>
        </w:rPr>
        <w:t>Trial</w:t>
      </w:r>
      <w:proofErr w:type="gramStart"/>
      <w:r w:rsidRPr="0081199A">
        <w:rPr>
          <w:rFonts w:ascii="Times New Roman" w:hAnsi="Times New Roman" w:cs="Times New Roman"/>
          <w:bCs/>
          <w:i/>
        </w:rPr>
        <w:t>,</w:t>
      </w:r>
      <w:r w:rsidRPr="0081199A">
        <w:rPr>
          <w:rFonts w:ascii="Times New Roman" w:hAnsi="Times New Roman" w:cs="Times New Roman"/>
        </w:rPr>
        <w:t>American</w:t>
      </w:r>
      <w:proofErr w:type="spellEnd"/>
      <w:proofErr w:type="gramEnd"/>
      <w:r w:rsidRPr="0081199A">
        <w:rPr>
          <w:rFonts w:ascii="Times New Roman" w:hAnsi="Times New Roman" w:cs="Times New Roman"/>
        </w:rPr>
        <w:t xml:space="preserve"> College of Surgeons</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proofErr w:type="gramStart"/>
      <w:r w:rsidRPr="0081199A">
        <w:rPr>
          <w:rFonts w:ascii="Times New Roman" w:hAnsi="Times New Roman" w:cs="Times New Roman"/>
        </w:rPr>
        <w:t xml:space="preserve">Research </w:t>
      </w:r>
      <w:proofErr w:type="spellStart"/>
      <w:r w:rsidRPr="0081199A">
        <w:rPr>
          <w:rFonts w:ascii="Times New Roman" w:hAnsi="Times New Roman" w:cs="Times New Roman"/>
        </w:rPr>
        <w:t>ANd</w:t>
      </w:r>
      <w:proofErr w:type="spellEnd"/>
      <w:r w:rsidRPr="0081199A">
        <w:rPr>
          <w:rFonts w:ascii="Times New Roman" w:hAnsi="Times New Roman" w:cs="Times New Roman"/>
        </w:rPr>
        <w:t xml:space="preserve"> Development Cooperation.</w:t>
      </w:r>
      <w:proofErr w:type="gramEnd"/>
      <w:r w:rsidRPr="0081199A">
        <w:rPr>
          <w:rFonts w:ascii="Times New Roman" w:hAnsi="Times New Roman" w:cs="Times New Roman"/>
        </w:rPr>
        <w:t xml:space="preserve"> (2011). </w:t>
      </w:r>
      <w:r w:rsidRPr="0081199A">
        <w:rPr>
          <w:rFonts w:ascii="Times New Roman" w:hAnsi="Times New Roman" w:cs="Times New Roman"/>
          <w:i/>
        </w:rPr>
        <w:t>Building Community Resilience to Disasters: A Roadmap to Guide Local Planning</w:t>
      </w:r>
      <w:r w:rsidRPr="0081199A">
        <w:rPr>
          <w:rFonts w:ascii="Times New Roman" w:hAnsi="Times New Roman" w:cs="Times New Roman"/>
        </w:rPr>
        <w:t>, RAND</w:t>
      </w:r>
    </w:p>
    <w:p w:rsidR="0081199A" w:rsidRPr="0081199A" w:rsidRDefault="0081199A" w:rsidP="0081199A">
      <w:pPr>
        <w:jc w:val="both"/>
        <w:rPr>
          <w:rFonts w:ascii="Times New Roman" w:hAnsi="Times New Roman" w:cs="Times New Roman"/>
          <w:i/>
        </w:rPr>
      </w:pP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 xml:space="preserve">Salas, E., &amp; Wildman, J. L. (2009). </w:t>
      </w:r>
      <w:r w:rsidRPr="0081199A">
        <w:rPr>
          <w:rFonts w:ascii="Times New Roman" w:hAnsi="Times New Roman" w:cs="Times New Roman"/>
          <w:i/>
        </w:rPr>
        <w:t>Using simulation-based training to enhance management education.</w:t>
      </w:r>
      <w:r w:rsidRPr="0081199A">
        <w:rPr>
          <w:rFonts w:ascii="Times New Roman" w:hAnsi="Times New Roman" w:cs="Times New Roman"/>
        </w:rPr>
        <w:t xml:space="preserve"> Academy of Management Learning and Education, 8(4), p. 559–573.</w:t>
      </w:r>
    </w:p>
    <w:p w:rsidR="0081199A" w:rsidRPr="0081199A" w:rsidRDefault="0081199A" w:rsidP="0081199A">
      <w:pPr>
        <w:jc w:val="both"/>
        <w:rPr>
          <w:rFonts w:ascii="Times New Roman" w:hAnsi="Times New Roman" w:cs="Times New Roman"/>
        </w:rPr>
      </w:pPr>
      <w:r w:rsidRPr="0081199A">
        <w:rPr>
          <w:rFonts w:ascii="Times New Roman" w:hAnsi="Times New Roman" w:cs="Times New Roman"/>
        </w:rPr>
        <w:t xml:space="preserve">United Nations Economic and Social Commission for Asia and the Pacific. (2002). </w:t>
      </w:r>
      <w:r w:rsidRPr="0081199A">
        <w:rPr>
          <w:rFonts w:ascii="Times New Roman" w:hAnsi="Times New Roman" w:cs="Times New Roman"/>
          <w:i/>
        </w:rPr>
        <w:t>Train the Trainer Training Fundamentals Instructor’s Reference Manual,</w:t>
      </w:r>
      <w:r w:rsidRPr="0081199A">
        <w:rPr>
          <w:rFonts w:ascii="Times New Roman" w:hAnsi="Times New Roman" w:cs="Times New Roman"/>
        </w:rPr>
        <w:t xml:space="preserve"> UNESCAP</w:t>
      </w:r>
    </w:p>
    <w:p w:rsidR="0081199A" w:rsidRPr="0081199A" w:rsidRDefault="0081199A" w:rsidP="0081199A">
      <w:pPr>
        <w:jc w:val="both"/>
        <w:rPr>
          <w:rFonts w:ascii="Times New Roman" w:hAnsi="Times New Roman" w:cs="Times New Roman"/>
          <w:bCs/>
          <w:iCs/>
        </w:rPr>
      </w:pPr>
      <w:proofErr w:type="spellStart"/>
      <w:r w:rsidRPr="0081199A">
        <w:rPr>
          <w:rFonts w:ascii="Times New Roman" w:hAnsi="Times New Roman" w:cs="Times New Roman"/>
          <w:bCs/>
          <w:iCs/>
        </w:rPr>
        <w:t>Waiyatee</w:t>
      </w:r>
      <w:proofErr w:type="spellEnd"/>
      <w:r w:rsidRPr="0081199A">
        <w:rPr>
          <w:rFonts w:ascii="Times New Roman" w:hAnsi="Times New Roman" w:cs="Times New Roman"/>
          <w:bCs/>
          <w:iCs/>
        </w:rPr>
        <w:t xml:space="preserve">, W. (2011). </w:t>
      </w:r>
      <w:r w:rsidRPr="0081199A">
        <w:rPr>
          <w:rFonts w:ascii="Times New Roman" w:hAnsi="Times New Roman" w:cs="Times New Roman"/>
          <w:bCs/>
          <w:i/>
          <w:iCs/>
        </w:rPr>
        <w:t xml:space="preserve">Community-based flood prevention and mitigation from the recent flood 2010 in </w:t>
      </w:r>
      <w:proofErr w:type="spellStart"/>
      <w:r w:rsidRPr="0081199A">
        <w:rPr>
          <w:rFonts w:ascii="Times New Roman" w:hAnsi="Times New Roman" w:cs="Times New Roman"/>
          <w:bCs/>
          <w:i/>
          <w:iCs/>
        </w:rPr>
        <w:t>Thailand</w:t>
      </w:r>
      <w:proofErr w:type="gramStart"/>
      <w:r w:rsidRPr="0081199A">
        <w:rPr>
          <w:rFonts w:ascii="Times New Roman" w:hAnsi="Times New Roman" w:cs="Times New Roman"/>
          <w:bCs/>
          <w:iCs/>
        </w:rPr>
        <w:t>,TaladKriab</w:t>
      </w:r>
      <w:proofErr w:type="spellEnd"/>
      <w:proofErr w:type="gramEnd"/>
      <w:r w:rsidRPr="0081199A">
        <w:rPr>
          <w:rFonts w:ascii="Times New Roman" w:hAnsi="Times New Roman" w:cs="Times New Roman"/>
          <w:bCs/>
          <w:iCs/>
        </w:rPr>
        <w:t xml:space="preserve"> Safe Community.</w:t>
      </w:r>
    </w:p>
    <w:p w:rsidR="0081199A" w:rsidRPr="0081199A" w:rsidRDefault="0081199A" w:rsidP="0081199A">
      <w:pPr>
        <w:jc w:val="both"/>
        <w:rPr>
          <w:rFonts w:ascii="Times New Roman" w:hAnsi="Times New Roman" w:cs="Times New Roman"/>
        </w:rPr>
      </w:pPr>
      <w:proofErr w:type="spellStart"/>
      <w:proofErr w:type="gramStart"/>
      <w:r w:rsidRPr="0081199A">
        <w:rPr>
          <w:rFonts w:ascii="Times New Roman" w:hAnsi="Times New Roman" w:cs="Times New Roman"/>
        </w:rPr>
        <w:t>Wastawy</w:t>
      </w:r>
      <w:proofErr w:type="spellEnd"/>
      <w:r w:rsidRPr="0081199A">
        <w:rPr>
          <w:rFonts w:ascii="Times New Roman" w:hAnsi="Times New Roman" w:cs="Times New Roman"/>
        </w:rPr>
        <w:t>, S. (2008).</w:t>
      </w:r>
      <w:proofErr w:type="gramEnd"/>
      <w:r w:rsidRPr="0081199A">
        <w:rPr>
          <w:rFonts w:ascii="Times New Roman" w:hAnsi="Times New Roman" w:cs="Times New Roman"/>
        </w:rPr>
        <w:t xml:space="preserve"> </w:t>
      </w:r>
      <w:r w:rsidRPr="0081199A">
        <w:rPr>
          <w:rFonts w:ascii="Times New Roman" w:hAnsi="Times New Roman" w:cs="Times New Roman"/>
          <w:i/>
        </w:rPr>
        <w:t>Report of the UNESCO Training-the-Trainers (TTT) Workshop, Alexandria, Egypt, 4-6 November 2008</w:t>
      </w:r>
      <w:r w:rsidRPr="0081199A">
        <w:rPr>
          <w:rFonts w:ascii="Times New Roman" w:hAnsi="Times New Roman" w:cs="Times New Roman"/>
        </w:rPr>
        <w:t>, UNESCO</w:t>
      </w:r>
    </w:p>
    <w:p w:rsidR="0081199A" w:rsidRPr="0081199A" w:rsidRDefault="0081199A" w:rsidP="0081199A">
      <w:pPr>
        <w:jc w:val="both"/>
        <w:rPr>
          <w:rFonts w:ascii="Times New Roman" w:hAnsi="Times New Roman" w:cs="Times New Roman"/>
          <w:bCs/>
          <w:iCs/>
        </w:rPr>
      </w:pPr>
      <w:proofErr w:type="gramStart"/>
      <w:r w:rsidRPr="0081199A">
        <w:rPr>
          <w:rFonts w:ascii="Times New Roman" w:hAnsi="Times New Roman" w:cs="Times New Roman"/>
          <w:bCs/>
          <w:iCs/>
        </w:rPr>
        <w:t>World Meteorological Organization.</w:t>
      </w:r>
      <w:proofErr w:type="gramEnd"/>
      <w:r w:rsidRPr="0081199A">
        <w:rPr>
          <w:rFonts w:ascii="Times New Roman" w:hAnsi="Times New Roman" w:cs="Times New Roman"/>
          <w:bCs/>
        </w:rPr>
        <w:t xml:space="preserve"> (2008). </w:t>
      </w:r>
      <w:r w:rsidRPr="0081199A">
        <w:rPr>
          <w:rFonts w:ascii="Times New Roman" w:hAnsi="Times New Roman" w:cs="Times New Roman"/>
          <w:bCs/>
          <w:i/>
        </w:rPr>
        <w:t>Organizing Community Participation for Integrated Flood Management</w:t>
      </w:r>
      <w:r w:rsidRPr="0081199A">
        <w:rPr>
          <w:rFonts w:ascii="Times New Roman" w:hAnsi="Times New Roman" w:cs="Times New Roman"/>
          <w:bCs/>
        </w:rPr>
        <w:t xml:space="preserve">, </w:t>
      </w:r>
      <w:r w:rsidRPr="0081199A">
        <w:rPr>
          <w:rFonts w:ascii="Times New Roman" w:hAnsi="Times New Roman" w:cs="Times New Roman"/>
          <w:bCs/>
          <w:iCs/>
        </w:rPr>
        <w:t>World Meteorological Organization</w:t>
      </w:r>
    </w:p>
    <w:p w:rsidR="0081199A" w:rsidRPr="0081199A" w:rsidRDefault="0081199A" w:rsidP="0081199A">
      <w:pPr>
        <w:jc w:val="both"/>
        <w:rPr>
          <w:rFonts w:ascii="Times New Roman" w:hAnsi="Times New Roman" w:cs="Times New Roman"/>
          <w:bCs/>
          <w:iCs/>
        </w:rPr>
      </w:pPr>
      <w:proofErr w:type="spellStart"/>
      <w:r w:rsidRPr="0081199A">
        <w:rPr>
          <w:rFonts w:ascii="Times New Roman" w:hAnsi="Times New Roman" w:cs="Times New Roman"/>
          <w:bCs/>
          <w:iCs/>
          <w:lang w:val="tr-TR"/>
        </w:rPr>
        <w:t>Yamori</w:t>
      </w:r>
      <w:proofErr w:type="spellEnd"/>
      <w:r w:rsidRPr="0081199A">
        <w:rPr>
          <w:rFonts w:ascii="Times New Roman" w:hAnsi="Times New Roman" w:cs="Times New Roman"/>
          <w:bCs/>
          <w:iCs/>
          <w:lang w:val="tr-TR"/>
        </w:rPr>
        <w:t>, K. (2009).</w:t>
      </w:r>
      <w:r w:rsidRPr="0081199A">
        <w:rPr>
          <w:rFonts w:ascii="Times New Roman" w:hAnsi="Times New Roman" w:cs="Times New Roman"/>
          <w:bCs/>
          <w:i/>
          <w:iCs/>
        </w:rPr>
        <w:t>Action Research on Disaster Reduction Education: Building a “Community of Practice” through a Gaming Approach</w:t>
      </w:r>
      <w:r w:rsidRPr="0081199A">
        <w:rPr>
          <w:rFonts w:ascii="Times New Roman" w:hAnsi="Times New Roman" w:cs="Times New Roman"/>
          <w:bCs/>
          <w:iCs/>
        </w:rPr>
        <w:t>, Journal of Natural Disaster Science</w:t>
      </w:r>
    </w:p>
    <w:p w:rsidR="0081199A" w:rsidRPr="0081199A" w:rsidRDefault="0081199A" w:rsidP="0081199A">
      <w:pPr>
        <w:jc w:val="both"/>
        <w:rPr>
          <w:rFonts w:ascii="Times New Roman" w:hAnsi="Times New Roman" w:cs="Times New Roman"/>
        </w:rPr>
      </w:pPr>
    </w:p>
    <w:p w:rsidR="0081199A" w:rsidRPr="0081199A" w:rsidRDefault="0081199A" w:rsidP="0081199A">
      <w:pPr>
        <w:jc w:val="both"/>
        <w:rPr>
          <w:rFonts w:ascii="Times New Roman" w:hAnsi="Times New Roman" w:cs="Times New Roman"/>
        </w:rPr>
      </w:pPr>
    </w:p>
    <w:sectPr w:rsidR="0081199A" w:rsidRPr="0081199A" w:rsidSect="001D6D7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99A"/>
    <w:rsid w:val="001D6D7A"/>
    <w:rsid w:val="00811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645063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9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99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9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99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emf"/><Relationship Id="rId20" Type="http://schemas.openxmlformats.org/officeDocument/2006/relationships/image" Target="media/image16.emf"/><Relationship Id="rId21" Type="http://schemas.openxmlformats.org/officeDocument/2006/relationships/image" Target="media/image17.emf"/><Relationship Id="rId22" Type="http://schemas.openxmlformats.org/officeDocument/2006/relationships/image" Target="media/image18.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image" Target="media/image13.emf"/><Relationship Id="rId18" Type="http://schemas.openxmlformats.org/officeDocument/2006/relationships/image" Target="media/image14.emf"/><Relationship Id="rId19" Type="http://schemas.openxmlformats.org/officeDocument/2006/relationships/image" Target="media/image15.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4168</Words>
  <Characters>23763</Characters>
  <Application>Microsoft Macintosh Word</Application>
  <DocSecurity>0</DocSecurity>
  <Lines>198</Lines>
  <Paragraphs>55</Paragraphs>
  <ScaleCrop>false</ScaleCrop>
  <Company>p.huyakorn@gmail.com</Company>
  <LinksUpToDate>false</LinksUpToDate>
  <CharactersWithSpaces>27876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Pongpisit Huyakorn</dc:creator>
  <cp:keywords/>
  <dc:description/>
  <cp:lastModifiedBy>Pongpisit Huyakorn</cp:lastModifiedBy>
  <cp:revision>1</cp:revision>
  <dcterms:created xsi:type="dcterms:W3CDTF">2015-09-11T16:59:00Z</dcterms:created>
  <dcterms:modified xsi:type="dcterms:W3CDTF">2015-09-11T17:10:00Z</dcterms:modified>
</cp:coreProperties>
</file>